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A3AC" w14:textId="77777777" w:rsidR="00253EF4" w:rsidRDefault="00000000">
      <w:pPr>
        <w:pStyle w:val="Titel"/>
      </w:pPr>
      <w:r>
        <w:t>Declaration of Compliance (DoC) for Food Contact Materials</w:t>
      </w:r>
    </w:p>
    <w:p w14:paraId="05D400FD" w14:textId="77777777" w:rsidR="00253EF4" w:rsidRDefault="00000000">
      <w:pPr>
        <w:pStyle w:val="Kop1"/>
      </w:pPr>
      <w:r>
        <w:t>1. Supplier Information</w:t>
      </w:r>
    </w:p>
    <w:p w14:paraId="313694FF" w14:textId="5B482E97" w:rsidR="00253EF4" w:rsidRDefault="00000000">
      <w:r>
        <w:t xml:space="preserve">Company name: </w:t>
      </w:r>
      <w:r w:rsidR="00CC4B54">
        <w:t>Bio Degradable Packaging BV</w:t>
      </w:r>
    </w:p>
    <w:p w14:paraId="15FEBF20" w14:textId="2B7DC8F7" w:rsidR="00253EF4" w:rsidRDefault="00000000">
      <w:pPr>
        <w:rPr>
          <w:u w:val="single"/>
        </w:rPr>
      </w:pPr>
      <w:r>
        <w:t>Address:</w:t>
      </w:r>
      <w:r>
        <w:rPr>
          <w:u w:val="single"/>
        </w:rPr>
        <w:t xml:space="preserve"> </w:t>
      </w:r>
      <w:r w:rsidR="00CC4B54">
        <w:rPr>
          <w:u w:val="single"/>
        </w:rPr>
        <w:t>Galgestraat 157, 9700 Oudenaarde , Belgium</w:t>
      </w:r>
    </w:p>
    <w:p w14:paraId="68F6E2D9" w14:textId="10CCDB3D" w:rsidR="00253EF4" w:rsidRPr="00BF527B" w:rsidRDefault="00000000">
      <w:pPr>
        <w:rPr>
          <w:rFonts w:eastAsia="SimSun"/>
          <w:lang w:val="fr-BE" w:eastAsia="zh-CN"/>
        </w:rPr>
      </w:pPr>
      <w:r w:rsidRPr="00BF527B">
        <w:rPr>
          <w:lang w:val="fr-BE"/>
        </w:rPr>
        <w:t xml:space="preserve">Contact person: </w:t>
      </w:r>
      <w:r w:rsidR="00CC4B54">
        <w:rPr>
          <w:rFonts w:eastAsia="SimSun"/>
          <w:u w:val="single"/>
          <w:lang w:eastAsia="zh-CN"/>
        </w:rPr>
        <w:t>Alex Gallez</w:t>
      </w:r>
      <w:r>
        <w:rPr>
          <w:rFonts w:eastAsia="SimSun" w:hint="eastAsia"/>
          <w:u w:val="single"/>
          <w:lang w:eastAsia="zh-CN"/>
        </w:rPr>
        <w:t xml:space="preserve">  </w:t>
      </w:r>
    </w:p>
    <w:p w14:paraId="62698FD2" w14:textId="77777777" w:rsidR="00253EF4" w:rsidRDefault="00000000">
      <w:pPr>
        <w:rPr>
          <w:rFonts w:eastAsia="SimSun"/>
          <w:u w:val="single"/>
          <w:lang w:eastAsia="zh-CN"/>
        </w:rPr>
      </w:pPr>
      <w:r>
        <w:rPr>
          <w:lang w:val="fr-FR"/>
        </w:rPr>
        <w:t xml:space="preserve">Position: </w:t>
      </w:r>
      <w:r>
        <w:rPr>
          <w:rFonts w:eastAsia="SimSun" w:hint="eastAsia"/>
          <w:u w:val="single"/>
          <w:lang w:eastAsia="zh-CN"/>
        </w:rPr>
        <w:t xml:space="preserve">Sales                                           </w:t>
      </w:r>
    </w:p>
    <w:p w14:paraId="06BF6833" w14:textId="697AA465" w:rsidR="00253EF4" w:rsidRDefault="00000000">
      <w:pPr>
        <w:rPr>
          <w:lang w:val="fr-FR"/>
        </w:rPr>
      </w:pPr>
      <w:r>
        <w:rPr>
          <w:lang w:val="fr-FR"/>
        </w:rPr>
        <w:t>Email / Phone:</w:t>
      </w:r>
      <w:r>
        <w:rPr>
          <w:u w:val="single"/>
          <w:lang w:val="fr-FR"/>
        </w:rPr>
        <w:t xml:space="preserve"> </w:t>
      </w:r>
      <w:r w:rsidR="00CC4B54">
        <w:rPr>
          <w:u w:val="single"/>
          <w:lang w:val="fr-FR"/>
        </w:rPr>
        <w:t>sales@biodp.eu</w:t>
      </w:r>
    </w:p>
    <w:p w14:paraId="780D1822" w14:textId="77777777" w:rsidR="00253EF4" w:rsidRDefault="00000000">
      <w:pPr>
        <w:rPr>
          <w:lang w:val="en-GB"/>
        </w:rPr>
      </w:pPr>
      <w:r>
        <w:rPr>
          <w:lang w:val="en-GB"/>
        </w:rPr>
        <w:t>I am …. (t</w:t>
      </w:r>
      <w:r>
        <w:t xml:space="preserve">ick as applicable) </w:t>
      </w:r>
      <w:r>
        <w:rPr>
          <w:lang w:val="en-GB"/>
        </w:rPr>
        <w:t>of the products as mentioned under2</w:t>
      </w:r>
      <w:r>
        <w:t>:</w:t>
      </w:r>
    </w:p>
    <w:p w14:paraId="73A0FC36" w14:textId="4D2DE40C" w:rsidR="00253EF4" w:rsidRDefault="00CC4B54" w:rsidP="00CC4B54">
      <w:pPr>
        <w:pStyle w:val="Lijstalinea"/>
      </w:pPr>
      <w:r>
        <w:sym w:font="Wingdings" w:char="F0FC"/>
      </w:r>
      <w:r>
        <w:t>Importer</w:t>
      </w:r>
    </w:p>
    <w:p w14:paraId="2C6D9CA7" w14:textId="77777777" w:rsidR="00CC4B54" w:rsidRDefault="00CC4B54"/>
    <w:p w14:paraId="39D9EAA9" w14:textId="013D6C3A" w:rsidR="00253EF4" w:rsidRDefault="00000000">
      <w:r>
        <w:t>All information given in this document is solely destined for products supplied to Biodegradable Packaging, based in Belgium.</w:t>
      </w:r>
    </w:p>
    <w:p w14:paraId="780C30F5" w14:textId="77777777" w:rsidR="00253EF4" w:rsidRDefault="00000000">
      <w:pPr>
        <w:pStyle w:val="Kop1"/>
      </w:pPr>
      <w:r>
        <w:t>2. Product Information</w:t>
      </w:r>
    </w:p>
    <w:p w14:paraId="06BF1680" w14:textId="75060529" w:rsidR="00253EF4" w:rsidRDefault="00000000">
      <w:pPr>
        <w:rPr>
          <w:rFonts w:eastAsia="SimSun"/>
          <w:u w:val="single"/>
          <w:lang w:eastAsia="zh-CN"/>
        </w:rPr>
      </w:pPr>
      <w:r>
        <w:t>Trade name / product code as mentioned on delivery note:</w:t>
      </w:r>
      <w:r>
        <w:rPr>
          <w:u w:val="single"/>
        </w:rPr>
        <w:t xml:space="preserve"> </w:t>
      </w:r>
      <w:r>
        <w:rPr>
          <w:rFonts w:eastAsia="SimSun" w:hint="eastAsia"/>
          <w:u w:val="single"/>
          <w:lang w:eastAsia="zh-CN"/>
        </w:rPr>
        <w:t>paper food trays/paper cake boxes/paper hamburger boxes</w:t>
      </w:r>
      <w:r w:rsidR="00BF527B">
        <w:rPr>
          <w:rFonts w:eastAsia="SimSun"/>
          <w:u w:val="single"/>
          <w:lang w:eastAsia="zh-CN"/>
        </w:rPr>
        <w:t>/waffle tray</w:t>
      </w:r>
    </w:p>
    <w:p w14:paraId="6BCEEAC3" w14:textId="77777777" w:rsidR="00253EF4" w:rsidRDefault="00000000">
      <w:r>
        <w:t>Material type:</w:t>
      </w:r>
    </w:p>
    <w:p w14:paraId="7C1138DE" w14:textId="77777777" w:rsidR="00253EF4" w:rsidRDefault="00000000">
      <w:pPr>
        <w:pStyle w:val="Lijstalinea"/>
        <w:ind w:left="360"/>
      </w:pPr>
      <w:r>
        <w:sym w:font="Wingdings" w:char="00FE"/>
      </w:r>
      <w:r>
        <w:rPr>
          <w:rFonts w:eastAsia="SimSun" w:hint="eastAsia"/>
          <w:lang w:eastAsia="zh-CN"/>
        </w:rPr>
        <w:t xml:space="preserve">   </w:t>
      </w:r>
      <w:r>
        <w:t>Paper / Board</w:t>
      </w:r>
    </w:p>
    <w:p w14:paraId="3BBF8A92" w14:textId="77777777" w:rsidR="00253EF4" w:rsidRDefault="00000000">
      <w:pPr>
        <w:pStyle w:val="Lijstalinea"/>
        <w:numPr>
          <w:ilvl w:val="0"/>
          <w:numId w:val="8"/>
        </w:numPr>
      </w:pPr>
      <w:r>
        <w:t>Plastic (covered by EU Regulation 10/2011)</w:t>
      </w:r>
    </w:p>
    <w:p w14:paraId="3E33C87F" w14:textId="77777777" w:rsidR="00253EF4" w:rsidRDefault="00000000">
      <w:pPr>
        <w:pStyle w:val="Lijstalinea"/>
        <w:ind w:left="360"/>
      </w:pPr>
      <w:r>
        <w:sym w:font="Wingdings" w:char="00A8"/>
      </w:r>
      <w:r>
        <w:rPr>
          <w:rFonts w:eastAsia="SimSun" w:hint="eastAsia"/>
          <w:lang w:eastAsia="zh-CN"/>
        </w:rPr>
        <w:t xml:space="preserve">   </w:t>
      </w:r>
      <w:r>
        <w:t>Combination of paper/board and plastic</w:t>
      </w:r>
    </w:p>
    <w:p w14:paraId="639F9896" w14:textId="77777777" w:rsidR="00253EF4" w:rsidRDefault="00000000">
      <w:pPr>
        <w:pStyle w:val="Lijstalinea"/>
        <w:numPr>
          <w:ilvl w:val="0"/>
          <w:numId w:val="8"/>
        </w:numPr>
      </w:pPr>
      <w:r>
        <w:t>Other: ____________________________</w:t>
      </w:r>
    </w:p>
    <w:p w14:paraId="7CAD9445" w14:textId="77777777" w:rsidR="00253EF4" w:rsidRDefault="00253EF4"/>
    <w:p w14:paraId="2A1E1CD8" w14:textId="77777777" w:rsidR="00253EF4" w:rsidRDefault="00000000">
      <w:r>
        <w:t>The abovementioned material is printed / unprinted (delete what is unapplicable).</w:t>
      </w:r>
    </w:p>
    <w:p w14:paraId="60455505" w14:textId="77777777" w:rsidR="00253EF4" w:rsidRDefault="00000000">
      <w:r>
        <w:t xml:space="preserve">Description of material/article: </w:t>
      </w:r>
      <w:r>
        <w:rPr>
          <w:rFonts w:eastAsia="SimSun" w:hint="eastAsia"/>
          <w:u w:val="single"/>
          <w:lang w:eastAsia="zh-CN"/>
        </w:rPr>
        <w:t>kraft paper/white paper</w:t>
      </w:r>
    </w:p>
    <w:p w14:paraId="5EDB96C1" w14:textId="77777777" w:rsidR="00253EF4" w:rsidRDefault="00000000">
      <w:pPr>
        <w:pStyle w:val="Lijstalinea"/>
        <w:numPr>
          <w:ilvl w:val="0"/>
          <w:numId w:val="9"/>
        </w:numPr>
      </w:pPr>
      <w:r>
        <w:t>The abovementioned material contains post-industrial recyclate (if so: please mention percentage: _____________________%)</w:t>
      </w:r>
    </w:p>
    <w:p w14:paraId="29334035" w14:textId="77777777" w:rsidR="00253EF4" w:rsidRDefault="00000000">
      <w:pPr>
        <w:pStyle w:val="Lijstalinea"/>
        <w:numPr>
          <w:ilvl w:val="0"/>
          <w:numId w:val="9"/>
        </w:numPr>
      </w:pPr>
      <w:r>
        <w:lastRenderedPageBreak/>
        <w:t>The abovementioned material contains post-consumer recyclate (if so: please mention percentage: _____________________%)</w:t>
      </w:r>
    </w:p>
    <w:p w14:paraId="2E32FFC8" w14:textId="77777777" w:rsidR="00253EF4" w:rsidRDefault="00000000">
      <w:pPr>
        <w:pStyle w:val="Lijstalinea"/>
        <w:ind w:left="360"/>
      </w:pPr>
      <w:r>
        <w:sym w:font="Wingdings" w:char="00FE"/>
      </w:r>
      <w:r>
        <w:t>The abovementioned material does not contain recyclate.</w:t>
      </w:r>
    </w:p>
    <w:p w14:paraId="758B5CEA" w14:textId="77777777" w:rsidR="00253EF4" w:rsidRDefault="00000000">
      <w:r>
        <w:t>Thickness / grammage (if applicable): _____________________</w:t>
      </w:r>
    </w:p>
    <w:p w14:paraId="7E788539" w14:textId="77777777" w:rsidR="00253EF4" w:rsidRDefault="00000000">
      <w:pPr>
        <w:rPr>
          <w:rFonts w:eastAsia="SimSun"/>
          <w:u w:val="single"/>
          <w:lang w:eastAsia="zh-CN"/>
        </w:rPr>
      </w:pPr>
      <w:r>
        <w:t>Composition of the layers:</w:t>
      </w:r>
      <w:r>
        <w:rPr>
          <w:u w:val="single"/>
        </w:rPr>
        <w:t xml:space="preserve"> </w:t>
      </w:r>
      <w:r>
        <w:rPr>
          <w:rFonts w:eastAsia="SimSun" w:hint="eastAsia"/>
          <w:u w:val="single"/>
          <w:lang w:eastAsia="zh-CN"/>
        </w:rPr>
        <w:t xml:space="preserve"> paper only</w:t>
      </w:r>
    </w:p>
    <w:p w14:paraId="709BE499" w14:textId="77777777" w:rsidR="00253EF4" w:rsidRDefault="00000000">
      <w:r>
        <w:t>Picture (please insert): ____</w:t>
      </w:r>
      <w:r>
        <w:rPr>
          <w:noProof/>
        </w:rPr>
        <w:drawing>
          <wp:inline distT="0" distB="0" distL="114300" distR="114300" wp14:anchorId="7607BF67" wp14:editId="2246D279">
            <wp:extent cx="2826385" cy="17164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826385" cy="1716405"/>
                    </a:xfrm>
                    <a:prstGeom prst="rect">
                      <a:avLst/>
                    </a:prstGeom>
                    <a:noFill/>
                    <a:ln>
                      <a:noFill/>
                    </a:ln>
                  </pic:spPr>
                </pic:pic>
              </a:graphicData>
            </a:graphic>
          </wp:inline>
        </w:drawing>
      </w:r>
      <w:r>
        <w:t>_________________</w:t>
      </w:r>
    </w:p>
    <w:p w14:paraId="279DBC64" w14:textId="77777777" w:rsidR="00253EF4" w:rsidRDefault="00000000">
      <w:pPr>
        <w:pStyle w:val="Kop1"/>
      </w:pPr>
      <w:r>
        <w:t>3. Regulatory Compliance</w:t>
      </w:r>
    </w:p>
    <w:p w14:paraId="69511713" w14:textId="77777777" w:rsidR="00253EF4" w:rsidRDefault="00000000">
      <w:r>
        <w:t>We confirm that we comply with (tick as applicable):</w:t>
      </w:r>
    </w:p>
    <w:p w14:paraId="66EF306E" w14:textId="77777777" w:rsidR="00253EF4" w:rsidRDefault="00000000">
      <w:r>
        <w:sym w:font="Wingdings" w:char="00FE"/>
      </w:r>
      <w:r>
        <w:t>Framework Regulation (EC) No 1935/2004</w:t>
      </w:r>
    </w:p>
    <w:p w14:paraId="0121E7D2" w14:textId="77777777" w:rsidR="00253EF4" w:rsidRDefault="00000000">
      <w:r>
        <w:sym w:font="Wingdings" w:char="00FE"/>
      </w:r>
      <w:r>
        <w:t>Good Manufacturing Practice Regulation (EC) No 2023/2006</w:t>
      </w:r>
    </w:p>
    <w:p w14:paraId="0CC7206F" w14:textId="77777777" w:rsidR="00253EF4" w:rsidRDefault="00000000">
      <w:pPr>
        <w:pStyle w:val="Lijstalinea"/>
        <w:ind w:left="360"/>
      </w:pPr>
      <w:r>
        <w:sym w:font="Wingdings" w:char="00FE"/>
      </w:r>
      <w:r>
        <w:rPr>
          <w:rFonts w:eastAsia="SimSun" w:hint="eastAsia"/>
          <w:lang w:eastAsia="zh-CN"/>
        </w:rPr>
        <w:t xml:space="preserve"> </w:t>
      </w:r>
      <w:r>
        <w:t>Regulation (EU) No 10/2011 (only for plastics)</w:t>
      </w:r>
    </w:p>
    <w:p w14:paraId="4E33FE31" w14:textId="77777777" w:rsidR="00253EF4" w:rsidRDefault="00000000">
      <w:pPr>
        <w:pStyle w:val="Lijstalinea"/>
        <w:ind w:left="360"/>
      </w:pPr>
      <w:r>
        <w:sym w:font="Wingdings" w:char="00FE"/>
      </w:r>
      <w:r>
        <w:rPr>
          <w:rFonts w:eastAsia="SimSun" w:hint="eastAsia"/>
          <w:lang w:eastAsia="zh-CN"/>
        </w:rPr>
        <w:t xml:space="preserve"> </w:t>
      </w:r>
      <w:r>
        <w:t>Belgian Royal Decree of 11</w:t>
      </w:r>
      <w:r>
        <w:rPr>
          <w:vertAlign w:val="superscript"/>
        </w:rPr>
        <w:t>th</w:t>
      </w:r>
      <w:r>
        <w:t xml:space="preserve"> of May 1992 (only for paper / board)</w:t>
      </w:r>
    </w:p>
    <w:p w14:paraId="3BAB8829" w14:textId="77777777" w:rsidR="00253EF4" w:rsidRDefault="00000000">
      <w:pPr>
        <w:rPr>
          <w:lang w:val="en-GB"/>
        </w:rPr>
      </w:pPr>
      <w:r>
        <w:t xml:space="preserve">We confirm that </w:t>
      </w:r>
      <w:r>
        <w:rPr>
          <w:lang w:val="en-GB"/>
        </w:rPr>
        <w:t>the materials do not contain substances whose genotoxicity has not been ruled out, and which originate from an intentional use during a manufacturing stage of that intermediate material and which could be present in an amount that foreseeably gives rise to a migration from the final material exceeding 0.00015 mg/kg food or food simulant.</w:t>
      </w:r>
    </w:p>
    <w:p w14:paraId="3E9373B2" w14:textId="77777777" w:rsidR="00253EF4" w:rsidRDefault="00000000">
      <w:r>
        <w:t xml:space="preserve">Only if recycled material is used (see section 2.): </w:t>
      </w:r>
    </w:p>
    <w:p w14:paraId="39CA5599" w14:textId="77777777" w:rsidR="00253EF4" w:rsidRDefault="00000000">
      <w:pPr>
        <w:pStyle w:val="Lijstalinea"/>
        <w:numPr>
          <w:ilvl w:val="0"/>
          <w:numId w:val="10"/>
        </w:numPr>
      </w:pPr>
      <w:r>
        <w:t>We confirm that we comply with EU Regulation 2022/1616.</w:t>
      </w:r>
    </w:p>
    <w:p w14:paraId="22429192" w14:textId="77777777" w:rsidR="00253EF4" w:rsidRDefault="00000000">
      <w:r>
        <w:t>Only for printed / coated materials (see section 2.):</w:t>
      </w:r>
    </w:p>
    <w:p w14:paraId="6ED75059" w14:textId="77777777" w:rsidR="00253EF4" w:rsidRDefault="00000000">
      <w:pPr>
        <w:pStyle w:val="Lijstalinea"/>
        <w:ind w:left="360"/>
        <w:rPr>
          <w:lang w:val="en-GB"/>
        </w:rPr>
      </w:pPr>
      <w:r>
        <w:rPr>
          <w:lang w:val="en-GB"/>
        </w:rPr>
        <w:sym w:font="Wingdings" w:char="00FE"/>
      </w:r>
      <w:r>
        <w:rPr>
          <w:lang w:val="en-GB"/>
        </w:rPr>
        <w:t xml:space="preserve">All printing inks and related products are formulated in accordance with the EuPIA Exclusion Policy for printing inks and related products. </w:t>
      </w:r>
      <w:r>
        <w:t>The EuPIA Exclusion Policy states that by default raw materials must not be used in inks, which are classified as toxic or CMR (to be exact: acutely toxic cat. 1, 2 or 3; carcinogenic, mutagenic or toxic to reproduction (CMR) cat. 1A or 1B; or specific target organ toxicity (STOT) cat. 1).</w:t>
      </w:r>
    </w:p>
    <w:p w14:paraId="55325D04" w14:textId="77777777" w:rsidR="00253EF4" w:rsidRDefault="00000000">
      <w:pPr>
        <w:pStyle w:val="Kop1"/>
      </w:pPr>
      <w:r>
        <w:lastRenderedPageBreak/>
        <w:t>4. Substances and Restrictions</w:t>
      </w:r>
    </w:p>
    <w:p w14:paraId="082757DF" w14:textId="77777777" w:rsidR="00253EF4" w:rsidRDefault="00000000">
      <w:r>
        <w:t>For plastic materials (as regulated by EU Regulation 10/2011):</w:t>
      </w:r>
    </w:p>
    <w:p w14:paraId="6862AB53" w14:textId="77777777" w:rsidR="00253EF4" w:rsidRDefault="00000000">
      <w:pPr>
        <w:pStyle w:val="Lijstalinea"/>
        <w:ind w:left="360"/>
      </w:pPr>
      <w:r>
        <w:sym w:font="Wingdings" w:char="00A8"/>
      </w:r>
      <w:r>
        <w:rPr>
          <w:rFonts w:eastAsia="SimSun" w:hint="eastAsia"/>
          <w:lang w:eastAsia="zh-CN"/>
        </w:rPr>
        <w:t xml:space="preserve"> </w:t>
      </w:r>
      <w:r>
        <w:t>Contains only substances authorized in EU Regulation 10/2011</w:t>
      </w:r>
    </w:p>
    <w:p w14:paraId="2C537A87" w14:textId="77777777" w:rsidR="00253EF4" w:rsidRDefault="00000000">
      <w:pPr>
        <w:pStyle w:val="Lijstalinea"/>
        <w:ind w:left="360"/>
      </w:pPr>
      <w:r>
        <w:sym w:font="Wingdings" w:char="00A8"/>
      </w:r>
      <w:r>
        <w:rPr>
          <w:rFonts w:eastAsia="SimSun" w:hint="eastAsia"/>
          <w:lang w:eastAsia="zh-CN"/>
        </w:rPr>
        <w:t xml:space="preserve"> </w:t>
      </w:r>
      <w:r>
        <w:t>Specific migration limits (SMLs) respected: please list all substances present:</w:t>
      </w:r>
    </w:p>
    <w:p w14:paraId="19904BB0" w14:textId="77777777" w:rsidR="00253EF4" w:rsidRDefault="00000000">
      <w:pPr>
        <w:pStyle w:val="Lijstalinea"/>
        <w:numPr>
          <w:ilvl w:val="0"/>
          <w:numId w:val="11"/>
        </w:numPr>
      </w:pPr>
      <w:r>
        <w:t>____________________________</w:t>
      </w:r>
    </w:p>
    <w:p w14:paraId="4FB44CB8" w14:textId="77777777" w:rsidR="00253EF4" w:rsidRDefault="00253EF4"/>
    <w:p w14:paraId="52F00802" w14:textId="77777777" w:rsidR="00253EF4" w:rsidRDefault="00000000">
      <w:pPr>
        <w:pStyle w:val="Lijstalinea"/>
        <w:ind w:left="360"/>
      </w:pPr>
      <w:r>
        <w:sym w:font="Wingdings" w:char="00A8"/>
      </w:r>
      <w:r>
        <w:rPr>
          <w:rFonts w:eastAsia="SimSun" w:hint="eastAsia"/>
          <w:lang w:eastAsia="zh-CN"/>
        </w:rPr>
        <w:t xml:space="preserve"> </w:t>
      </w:r>
      <w:r>
        <w:t>Overall migration limits (OMLs) respected</w:t>
      </w:r>
    </w:p>
    <w:p w14:paraId="5D701469" w14:textId="77777777" w:rsidR="00253EF4" w:rsidRDefault="00000000">
      <w:pPr>
        <w:pStyle w:val="Lijstalinea"/>
        <w:ind w:left="360"/>
      </w:pPr>
      <w:r>
        <w:sym w:font="Wingdings" w:char="00A8"/>
      </w:r>
      <w:r>
        <w:rPr>
          <w:rFonts w:eastAsia="SimSun" w:hint="eastAsia"/>
          <w:lang w:eastAsia="zh-CN"/>
        </w:rPr>
        <w:t xml:space="preserve"> </w:t>
      </w:r>
      <w:r>
        <w:t xml:space="preserve">Dual-use additives declared (where applicable) (i.e. substances with </w:t>
      </w:r>
      <w:r>
        <w:rPr>
          <w:lang w:val="en-GB"/>
        </w:rPr>
        <w:t>restrictions from Annex I or II of EU Regulation 10/2011</w:t>
      </w:r>
      <w:r>
        <w:t>: please list all substances present: ____________________________</w:t>
      </w:r>
    </w:p>
    <w:p w14:paraId="2FCBD843" w14:textId="77777777" w:rsidR="00253EF4" w:rsidRDefault="00253EF4"/>
    <w:p w14:paraId="3A344D32" w14:textId="77777777" w:rsidR="00253EF4" w:rsidRDefault="00000000">
      <w:r>
        <w:t>For paper/board containing material:</w:t>
      </w:r>
    </w:p>
    <w:p w14:paraId="03823C41" w14:textId="77777777" w:rsidR="00253EF4" w:rsidRDefault="00000000">
      <w:pPr>
        <w:pStyle w:val="Lijstalinea"/>
        <w:ind w:left="360"/>
      </w:pPr>
      <w:r>
        <w:sym w:font="Wingdings" w:char="00FE"/>
      </w:r>
      <w:r>
        <w:t>Complies with Article 3 of 1935/2004 (no risk to health, composition, or quality of food) Belgian Royal Decree of 11</w:t>
      </w:r>
      <w:r>
        <w:rPr>
          <w:vertAlign w:val="superscript"/>
        </w:rPr>
        <w:t>th</w:t>
      </w:r>
      <w:r>
        <w:t xml:space="preserve"> of May 1992</w:t>
      </w:r>
    </w:p>
    <w:p w14:paraId="364E28DC" w14:textId="77777777" w:rsidR="00253EF4" w:rsidRDefault="00000000">
      <w:r>
        <w:t>The abovementioned material does not contain any of the following substances:</w:t>
      </w:r>
    </w:p>
    <w:p w14:paraId="6F824FF1" w14:textId="77777777" w:rsidR="00253EF4" w:rsidRDefault="00000000">
      <w:pPr>
        <w:pStyle w:val="Lijstalinea"/>
        <w:numPr>
          <w:ilvl w:val="0"/>
          <w:numId w:val="12"/>
        </w:numPr>
        <w:spacing w:after="160" w:line="259" w:lineRule="auto"/>
        <w:rPr>
          <w:lang w:val="en-GB"/>
        </w:rPr>
      </w:pPr>
      <w:r>
        <w:rPr>
          <w:lang w:val="en-GB"/>
        </w:rPr>
        <w:t>Any Allergens as detailed in the WHO list.</w:t>
      </w:r>
    </w:p>
    <w:p w14:paraId="7541D073" w14:textId="77777777" w:rsidR="00253EF4" w:rsidRDefault="00000000">
      <w:pPr>
        <w:pStyle w:val="Lijstalinea"/>
        <w:numPr>
          <w:ilvl w:val="0"/>
          <w:numId w:val="12"/>
        </w:numPr>
        <w:spacing w:after="160" w:line="259" w:lineRule="auto"/>
        <w:rPr>
          <w:lang w:val="en-GB"/>
        </w:rPr>
      </w:pPr>
      <w:r>
        <w:rPr>
          <w:lang w:val="en-GB"/>
        </w:rPr>
        <w:t>Azodicarbonamides</w:t>
      </w:r>
    </w:p>
    <w:p w14:paraId="78E6CE60" w14:textId="77777777" w:rsidR="00253EF4" w:rsidRDefault="00000000">
      <w:pPr>
        <w:pStyle w:val="Lijstalinea"/>
        <w:numPr>
          <w:ilvl w:val="0"/>
          <w:numId w:val="12"/>
        </w:numPr>
        <w:spacing w:after="160" w:line="259" w:lineRule="auto"/>
        <w:rPr>
          <w:lang w:val="en-GB"/>
        </w:rPr>
      </w:pPr>
      <w:r>
        <w:rPr>
          <w:lang w:val="en-GB"/>
        </w:rPr>
        <w:t>Benzophenone</w:t>
      </w:r>
    </w:p>
    <w:p w14:paraId="498829CB" w14:textId="77777777" w:rsidR="00253EF4" w:rsidRDefault="00000000">
      <w:pPr>
        <w:pStyle w:val="Lijstalinea"/>
        <w:numPr>
          <w:ilvl w:val="0"/>
          <w:numId w:val="12"/>
        </w:numPr>
        <w:spacing w:after="160" w:line="259" w:lineRule="auto"/>
        <w:rPr>
          <w:lang w:val="en-GB"/>
        </w:rPr>
      </w:pPr>
      <w:r>
        <w:rPr>
          <w:lang w:val="en-GB"/>
        </w:rPr>
        <w:t>Bisphenol A</w:t>
      </w:r>
    </w:p>
    <w:p w14:paraId="07B82066" w14:textId="77777777" w:rsidR="00253EF4" w:rsidRDefault="00000000">
      <w:pPr>
        <w:pStyle w:val="Lijstalinea"/>
        <w:numPr>
          <w:ilvl w:val="0"/>
          <w:numId w:val="12"/>
        </w:numPr>
        <w:spacing w:after="160" w:line="259" w:lineRule="auto"/>
        <w:rPr>
          <w:lang w:val="en-GB"/>
        </w:rPr>
      </w:pPr>
      <w:r>
        <w:rPr>
          <w:lang w:val="en-GB"/>
        </w:rPr>
        <w:t>Bisphenol S ( BPS )</w:t>
      </w:r>
    </w:p>
    <w:p w14:paraId="3DBF9FC1" w14:textId="77777777" w:rsidR="00253EF4" w:rsidRDefault="00000000">
      <w:pPr>
        <w:pStyle w:val="Lijstalinea"/>
        <w:numPr>
          <w:ilvl w:val="0"/>
          <w:numId w:val="12"/>
        </w:numPr>
        <w:spacing w:after="160" w:line="259" w:lineRule="auto"/>
        <w:rPr>
          <w:lang w:val="en-GB"/>
        </w:rPr>
      </w:pPr>
      <w:r>
        <w:rPr>
          <w:lang w:val="en-GB"/>
        </w:rPr>
        <w:t>Cochineal Extract</w:t>
      </w:r>
    </w:p>
    <w:p w14:paraId="7B607984" w14:textId="77777777" w:rsidR="00253EF4" w:rsidRDefault="00000000">
      <w:pPr>
        <w:pStyle w:val="Lijstalinea"/>
        <w:numPr>
          <w:ilvl w:val="0"/>
          <w:numId w:val="12"/>
        </w:numPr>
        <w:spacing w:after="160" w:line="259" w:lineRule="auto"/>
        <w:rPr>
          <w:lang w:val="en-GB"/>
        </w:rPr>
      </w:pPr>
      <w:r>
        <w:rPr>
          <w:lang w:val="en-GB"/>
        </w:rPr>
        <w:t>Dioxins</w:t>
      </w:r>
    </w:p>
    <w:p w14:paraId="3F22A4F4" w14:textId="77777777" w:rsidR="00253EF4" w:rsidRDefault="00000000">
      <w:pPr>
        <w:pStyle w:val="Lijstalinea"/>
        <w:numPr>
          <w:ilvl w:val="0"/>
          <w:numId w:val="12"/>
        </w:numPr>
        <w:spacing w:after="160" w:line="259" w:lineRule="auto"/>
        <w:rPr>
          <w:lang w:val="en-GB"/>
        </w:rPr>
      </w:pPr>
      <w:r>
        <w:rPr>
          <w:lang w:val="en-GB"/>
        </w:rPr>
        <w:t>Ethyl alcohol ( Ethanol / Cas no. 64-17-5 )</w:t>
      </w:r>
    </w:p>
    <w:p w14:paraId="2F1F02FA" w14:textId="77777777" w:rsidR="00253EF4" w:rsidRDefault="00000000">
      <w:pPr>
        <w:pStyle w:val="Lijstalinea"/>
        <w:numPr>
          <w:ilvl w:val="0"/>
          <w:numId w:val="12"/>
        </w:numPr>
        <w:spacing w:after="160" w:line="259" w:lineRule="auto"/>
        <w:rPr>
          <w:lang w:val="en-GB"/>
        </w:rPr>
      </w:pPr>
      <w:r>
        <w:rPr>
          <w:lang w:val="en-GB"/>
        </w:rPr>
        <w:t>GMO’s Plasticizers / Phtalates</w:t>
      </w:r>
    </w:p>
    <w:p w14:paraId="53C1FE98" w14:textId="77777777" w:rsidR="00253EF4" w:rsidRDefault="00000000">
      <w:pPr>
        <w:pStyle w:val="Lijstalinea"/>
        <w:numPr>
          <w:ilvl w:val="0"/>
          <w:numId w:val="12"/>
        </w:numPr>
        <w:spacing w:after="160" w:line="259" w:lineRule="auto"/>
        <w:rPr>
          <w:lang w:val="en-GB"/>
        </w:rPr>
      </w:pPr>
      <w:r>
        <w:rPr>
          <w:lang w:val="en-GB"/>
        </w:rPr>
        <w:t>Hexabromocyclododecane ( HBCDD )</w:t>
      </w:r>
    </w:p>
    <w:p w14:paraId="5450FBE3" w14:textId="77777777" w:rsidR="00253EF4" w:rsidRDefault="00000000">
      <w:pPr>
        <w:pStyle w:val="Lijstalinea"/>
        <w:numPr>
          <w:ilvl w:val="0"/>
          <w:numId w:val="12"/>
        </w:numPr>
        <w:spacing w:after="160" w:line="259" w:lineRule="auto"/>
        <w:rPr>
          <w:lang w:val="en-GB"/>
        </w:rPr>
      </w:pPr>
      <w:r>
        <w:rPr>
          <w:lang w:val="en-GB"/>
        </w:rPr>
        <w:t>Hydroxybenzophenone</w:t>
      </w:r>
    </w:p>
    <w:p w14:paraId="41DC182B" w14:textId="77777777" w:rsidR="00253EF4" w:rsidRDefault="00000000">
      <w:pPr>
        <w:pStyle w:val="Lijstalinea"/>
        <w:numPr>
          <w:ilvl w:val="0"/>
          <w:numId w:val="12"/>
        </w:numPr>
        <w:spacing w:after="160" w:line="259" w:lineRule="auto"/>
        <w:rPr>
          <w:lang w:val="en-GB"/>
        </w:rPr>
      </w:pPr>
      <w:r>
        <w:rPr>
          <w:lang w:val="en-GB"/>
        </w:rPr>
        <w:t>ParabensAlkylphenols</w:t>
      </w:r>
    </w:p>
    <w:p w14:paraId="33980842" w14:textId="77777777" w:rsidR="00253EF4" w:rsidRDefault="00000000">
      <w:pPr>
        <w:pStyle w:val="Lijstalinea"/>
        <w:numPr>
          <w:ilvl w:val="0"/>
          <w:numId w:val="12"/>
        </w:numPr>
        <w:spacing w:after="160" w:line="259" w:lineRule="auto"/>
        <w:rPr>
          <w:lang w:val="en-GB"/>
        </w:rPr>
      </w:pPr>
      <w:r>
        <w:rPr>
          <w:lang w:val="en-GB"/>
        </w:rPr>
        <w:t>PerAcetic Acid</w:t>
      </w:r>
    </w:p>
    <w:p w14:paraId="6A818F43" w14:textId="77777777" w:rsidR="00253EF4" w:rsidRDefault="00000000">
      <w:pPr>
        <w:pStyle w:val="Lijstalinea"/>
        <w:numPr>
          <w:ilvl w:val="0"/>
          <w:numId w:val="12"/>
        </w:numPr>
        <w:spacing w:after="160" w:line="259" w:lineRule="auto"/>
        <w:rPr>
          <w:lang w:val="en-GB"/>
        </w:rPr>
      </w:pPr>
      <w:r>
        <w:rPr>
          <w:lang w:val="en-GB"/>
        </w:rPr>
        <w:t>Perfluoroctanic acid</w:t>
      </w:r>
    </w:p>
    <w:p w14:paraId="0761DB87" w14:textId="77777777" w:rsidR="00253EF4" w:rsidRDefault="00000000">
      <w:pPr>
        <w:pStyle w:val="Lijstalinea"/>
        <w:numPr>
          <w:ilvl w:val="0"/>
          <w:numId w:val="12"/>
        </w:numPr>
        <w:spacing w:after="160" w:line="259" w:lineRule="auto"/>
        <w:rPr>
          <w:lang w:val="en-GB"/>
        </w:rPr>
      </w:pPr>
      <w:r>
        <w:rPr>
          <w:lang w:val="en-GB"/>
        </w:rPr>
        <w:t>Phthalates</w:t>
      </w:r>
    </w:p>
    <w:p w14:paraId="502F89E2" w14:textId="77777777" w:rsidR="00253EF4" w:rsidRDefault="00000000">
      <w:pPr>
        <w:pStyle w:val="Lijstalinea"/>
        <w:numPr>
          <w:ilvl w:val="0"/>
          <w:numId w:val="12"/>
        </w:numPr>
        <w:spacing w:after="160" w:line="259" w:lineRule="auto"/>
        <w:rPr>
          <w:lang w:val="en-GB"/>
        </w:rPr>
      </w:pPr>
      <w:r>
        <w:rPr>
          <w:lang w:val="en-GB"/>
        </w:rPr>
        <w:t>Polycyclic Aromatic Hydrocarbons</w:t>
      </w:r>
    </w:p>
    <w:p w14:paraId="4AC973A6" w14:textId="77777777" w:rsidR="00253EF4" w:rsidRDefault="00000000">
      <w:pPr>
        <w:pStyle w:val="Lijstalinea"/>
        <w:numPr>
          <w:ilvl w:val="0"/>
          <w:numId w:val="12"/>
        </w:numPr>
        <w:spacing w:after="160" w:line="259" w:lineRule="auto"/>
        <w:rPr>
          <w:lang w:val="en-GB"/>
        </w:rPr>
      </w:pPr>
      <w:r>
        <w:rPr>
          <w:lang w:val="en-GB"/>
        </w:rPr>
        <w:t>Polyvinyl Chloride ( PVC )</w:t>
      </w:r>
    </w:p>
    <w:p w14:paraId="2D668B43" w14:textId="77777777" w:rsidR="00253EF4" w:rsidRDefault="00000000">
      <w:pPr>
        <w:pStyle w:val="Lijstalinea"/>
        <w:numPr>
          <w:ilvl w:val="0"/>
          <w:numId w:val="12"/>
        </w:numPr>
        <w:spacing w:after="160" w:line="259" w:lineRule="auto"/>
        <w:rPr>
          <w:lang w:val="en-GB"/>
        </w:rPr>
      </w:pPr>
      <w:r>
        <w:rPr>
          <w:lang w:val="en-GB"/>
        </w:rPr>
        <w:t>4.4 –Diaminodiphenylmethane ( MDA )</w:t>
      </w:r>
    </w:p>
    <w:p w14:paraId="51F948A7" w14:textId="77777777" w:rsidR="00253EF4" w:rsidRDefault="00000000">
      <w:pPr>
        <w:pStyle w:val="Lijstalinea"/>
        <w:numPr>
          <w:ilvl w:val="0"/>
          <w:numId w:val="12"/>
        </w:numPr>
        <w:spacing w:after="160" w:line="259" w:lineRule="auto"/>
        <w:rPr>
          <w:lang w:val="en-GB"/>
        </w:rPr>
      </w:pPr>
      <w:r>
        <w:rPr>
          <w:lang w:val="en-GB"/>
        </w:rPr>
        <w:t>4-Methylbenzophenone ( 4MeBP )</w:t>
      </w:r>
    </w:p>
    <w:p w14:paraId="63651B2A" w14:textId="77777777" w:rsidR="00253EF4" w:rsidRDefault="00000000">
      <w:pPr>
        <w:pStyle w:val="Lijstalinea"/>
        <w:numPr>
          <w:ilvl w:val="0"/>
          <w:numId w:val="12"/>
        </w:numPr>
        <w:spacing w:after="160" w:line="259" w:lineRule="auto"/>
        <w:rPr>
          <w:lang w:val="en-GB"/>
        </w:rPr>
      </w:pPr>
      <w:r>
        <w:rPr>
          <w:lang w:val="en-GB"/>
        </w:rPr>
        <w:t>Lead or cadmium</w:t>
      </w:r>
    </w:p>
    <w:p w14:paraId="38CFF4B2" w14:textId="77777777" w:rsidR="00253EF4" w:rsidRDefault="00000000">
      <w:pPr>
        <w:pStyle w:val="Lijstalinea"/>
        <w:numPr>
          <w:ilvl w:val="0"/>
          <w:numId w:val="12"/>
        </w:numPr>
        <w:spacing w:after="160" w:line="259" w:lineRule="auto"/>
        <w:rPr>
          <w:lang w:val="en-GB"/>
        </w:rPr>
      </w:pPr>
      <w:r>
        <w:rPr>
          <w:lang w:val="en-GB"/>
        </w:rPr>
        <w:t>Latex</w:t>
      </w:r>
    </w:p>
    <w:p w14:paraId="1CEB33B9" w14:textId="77777777" w:rsidR="00253EF4" w:rsidRDefault="00000000">
      <w:pPr>
        <w:pStyle w:val="Lijstalinea"/>
        <w:numPr>
          <w:ilvl w:val="0"/>
          <w:numId w:val="12"/>
        </w:numPr>
        <w:spacing w:after="160" w:line="259" w:lineRule="auto"/>
        <w:rPr>
          <w:lang w:val="en-GB"/>
        </w:rPr>
      </w:pPr>
      <w:r>
        <w:rPr>
          <w:lang w:val="en-GB"/>
        </w:rPr>
        <w:lastRenderedPageBreak/>
        <w:t>MOSH/MOAH</w:t>
      </w:r>
    </w:p>
    <w:p w14:paraId="062BF8A2" w14:textId="77777777" w:rsidR="00253EF4" w:rsidRDefault="00000000">
      <w:pPr>
        <w:pStyle w:val="Lijstalinea"/>
        <w:numPr>
          <w:ilvl w:val="0"/>
          <w:numId w:val="12"/>
        </w:numPr>
        <w:spacing w:after="160" w:line="259" w:lineRule="auto"/>
        <w:rPr>
          <w:lang w:val="en-GB"/>
        </w:rPr>
      </w:pPr>
      <w:r>
        <w:rPr>
          <w:lang w:val="en-GB"/>
        </w:rPr>
        <w:t>Ozone depleting chemicals</w:t>
      </w:r>
    </w:p>
    <w:p w14:paraId="5FEE09B5" w14:textId="77777777" w:rsidR="00253EF4" w:rsidRDefault="00000000">
      <w:pPr>
        <w:pStyle w:val="Lijstalinea"/>
        <w:numPr>
          <w:ilvl w:val="0"/>
          <w:numId w:val="12"/>
        </w:numPr>
        <w:spacing w:after="160" w:line="259" w:lineRule="auto"/>
        <w:rPr>
          <w:lang w:val="en-GB"/>
        </w:rPr>
      </w:pPr>
      <w:r>
        <w:rPr>
          <w:lang w:val="en-GB"/>
        </w:rPr>
        <w:t>Primary Aromatic Amines</w:t>
      </w:r>
    </w:p>
    <w:p w14:paraId="49F7610F" w14:textId="77777777" w:rsidR="00253EF4" w:rsidRDefault="00000000">
      <w:pPr>
        <w:pStyle w:val="Lijstalinea"/>
        <w:numPr>
          <w:ilvl w:val="0"/>
          <w:numId w:val="12"/>
        </w:numPr>
        <w:spacing w:after="160" w:line="259" w:lineRule="auto"/>
        <w:rPr>
          <w:lang w:val="en-GB"/>
        </w:rPr>
      </w:pPr>
      <w:r>
        <w:rPr>
          <w:lang w:val="en-GB"/>
        </w:rPr>
        <w:t>PFOS / PFAS</w:t>
      </w:r>
    </w:p>
    <w:p w14:paraId="32536367" w14:textId="77777777" w:rsidR="00253EF4" w:rsidRDefault="00000000">
      <w:pPr>
        <w:pStyle w:val="Lijstalinea"/>
        <w:numPr>
          <w:ilvl w:val="0"/>
          <w:numId w:val="12"/>
        </w:numPr>
        <w:spacing w:after="160" w:line="259" w:lineRule="auto"/>
        <w:rPr>
          <w:lang w:val="en-GB"/>
        </w:rPr>
      </w:pPr>
      <w:r>
        <w:rPr>
          <w:lang w:val="en-GB"/>
        </w:rPr>
        <w:t>Epoxy derivatives as defined per Regulation (EC) 1895/2005</w:t>
      </w:r>
    </w:p>
    <w:p w14:paraId="44192FEC" w14:textId="77777777" w:rsidR="00253EF4" w:rsidRDefault="00000000">
      <w:pPr>
        <w:pStyle w:val="Lijstalinea"/>
        <w:numPr>
          <w:ilvl w:val="0"/>
          <w:numId w:val="12"/>
        </w:numPr>
        <w:spacing w:after="160" w:line="259" w:lineRule="auto"/>
        <w:rPr>
          <w:lang w:val="en-GB"/>
        </w:rPr>
      </w:pPr>
      <w:r>
        <w:rPr>
          <w:lang w:val="en-GB"/>
        </w:rPr>
        <w:t>Presumed or suspected endocrine disrupters not exceeding 0.1% by mass (AGEC Law no. 2020-105 article 13. II version of 17Apr2023)</w:t>
      </w:r>
    </w:p>
    <w:p w14:paraId="155051D8" w14:textId="77777777" w:rsidR="00253EF4" w:rsidRDefault="00000000">
      <w:pPr>
        <w:rPr>
          <w:lang w:val="en-GB"/>
        </w:rPr>
      </w:pPr>
      <w:r>
        <w:rPr>
          <w:lang w:val="en-GB"/>
        </w:rPr>
        <w:t>In addition to the above absence declaration, we declare that all our products comply with:</w:t>
      </w:r>
    </w:p>
    <w:p w14:paraId="45608E88" w14:textId="77777777" w:rsidR="00253EF4" w:rsidRDefault="00000000">
      <w:pPr>
        <w:pStyle w:val="Lijstalinea"/>
        <w:numPr>
          <w:ilvl w:val="0"/>
          <w:numId w:val="13"/>
        </w:numPr>
        <w:spacing w:after="160" w:line="259" w:lineRule="auto"/>
        <w:rPr>
          <w:lang w:val="en-GB"/>
        </w:rPr>
      </w:pPr>
      <w:r>
        <w:rPr>
          <w:lang w:val="en-GB"/>
        </w:rPr>
        <w:t>Regulation EC 1907/2006 (REACH), including the latest amendments and the SVHC and Candidate list (latest amendment)</w:t>
      </w:r>
    </w:p>
    <w:p w14:paraId="2448C0B0" w14:textId="77777777" w:rsidR="00253EF4" w:rsidRDefault="00000000">
      <w:pPr>
        <w:pStyle w:val="Lijstalinea"/>
        <w:numPr>
          <w:ilvl w:val="0"/>
          <w:numId w:val="13"/>
        </w:numPr>
        <w:spacing w:after="160" w:line="259" w:lineRule="auto"/>
        <w:rPr>
          <w:lang w:val="en-GB"/>
        </w:rPr>
      </w:pPr>
      <w:r>
        <w:rPr>
          <w:lang w:val="en-GB"/>
        </w:rPr>
        <w:t>Proposition 65 of the state of California regarding the Safe Drinking Water &amp; Toxic Enforcement Act.</w:t>
      </w:r>
    </w:p>
    <w:p w14:paraId="1614EC24" w14:textId="77777777" w:rsidR="00253EF4" w:rsidRDefault="00253EF4">
      <w:pPr>
        <w:rPr>
          <w:lang w:val="en-GB"/>
        </w:rPr>
      </w:pPr>
    </w:p>
    <w:p w14:paraId="3BB3F081" w14:textId="77777777" w:rsidR="00253EF4" w:rsidRDefault="00000000">
      <w:pPr>
        <w:pStyle w:val="Kop1"/>
      </w:pPr>
      <w:r>
        <w:t>5. Conditions of Use</w:t>
      </w:r>
    </w:p>
    <w:p w14:paraId="011E4D06" w14:textId="77777777" w:rsidR="00253EF4" w:rsidRDefault="00000000">
      <w:r>
        <w:t>Food categories intended for contact (tick all that apply):</w:t>
      </w:r>
    </w:p>
    <w:p w14:paraId="027D8F96" w14:textId="77777777" w:rsidR="00253EF4" w:rsidRDefault="00000000">
      <w:pPr>
        <w:pStyle w:val="Lijstalinea"/>
        <w:ind w:left="360"/>
      </w:pPr>
      <w:r>
        <w:sym w:font="Wingdings" w:char="00A8"/>
      </w:r>
      <w:r>
        <w:t>Aqueous foods (pH &gt; 4.5)</w:t>
      </w:r>
    </w:p>
    <w:p w14:paraId="25FA2E02" w14:textId="77777777" w:rsidR="00253EF4" w:rsidRDefault="00000000">
      <w:pPr>
        <w:pStyle w:val="Lijstalinea"/>
        <w:numPr>
          <w:ilvl w:val="0"/>
          <w:numId w:val="14"/>
        </w:numPr>
      </w:pPr>
      <w:r>
        <w:t>Acidic foods (pH ≤ 4.5)</w:t>
      </w:r>
    </w:p>
    <w:p w14:paraId="09C3D0C4" w14:textId="77777777" w:rsidR="00253EF4" w:rsidRDefault="00000000">
      <w:pPr>
        <w:pStyle w:val="Lijstalinea"/>
        <w:numPr>
          <w:ilvl w:val="0"/>
          <w:numId w:val="14"/>
        </w:numPr>
      </w:pPr>
      <w:r>
        <w:t>Alcoholic foods (&gt;10% ethanol)</w:t>
      </w:r>
    </w:p>
    <w:p w14:paraId="382CA5B7" w14:textId="77777777" w:rsidR="00253EF4" w:rsidRDefault="00000000">
      <w:pPr>
        <w:pStyle w:val="Lijstalinea"/>
        <w:ind w:left="360"/>
      </w:pPr>
      <w:r>
        <w:sym w:font="Wingdings" w:char="00FE"/>
      </w:r>
      <w:r>
        <w:t>Fatty foods</w:t>
      </w:r>
    </w:p>
    <w:p w14:paraId="23DE29A6" w14:textId="77777777" w:rsidR="00253EF4" w:rsidRDefault="00000000">
      <w:pPr>
        <w:pStyle w:val="Lijstalinea"/>
        <w:ind w:left="360"/>
      </w:pPr>
      <w:r>
        <w:sym w:font="Wingdings" w:char="00FE"/>
      </w:r>
      <w:r>
        <w:t>Dry foods</w:t>
      </w:r>
    </w:p>
    <w:p w14:paraId="1CF07E1A" w14:textId="77777777" w:rsidR="00253EF4" w:rsidRDefault="00000000">
      <w:r>
        <w:t>Contact conditions (tick all that apply):</w:t>
      </w:r>
    </w:p>
    <w:p w14:paraId="51227925" w14:textId="77777777" w:rsidR="00253EF4" w:rsidRDefault="00000000">
      <w:pPr>
        <w:pStyle w:val="Lijstalinea"/>
        <w:ind w:left="360"/>
      </w:pPr>
      <w:r>
        <w:sym w:font="Wingdings" w:char="00FE"/>
      </w:r>
      <w:r>
        <w:t>Long-term storage at room temperature</w:t>
      </w:r>
    </w:p>
    <w:p w14:paraId="328E6825" w14:textId="77777777" w:rsidR="00253EF4" w:rsidRDefault="00000000">
      <w:pPr>
        <w:pStyle w:val="Lijstalinea"/>
        <w:numPr>
          <w:ilvl w:val="0"/>
          <w:numId w:val="15"/>
        </w:numPr>
      </w:pPr>
      <w:r>
        <w:t>Refrigerated / frozen storage</w:t>
      </w:r>
    </w:p>
    <w:p w14:paraId="1C3E15E8" w14:textId="77777777" w:rsidR="00253EF4" w:rsidRDefault="00000000">
      <w:pPr>
        <w:pStyle w:val="Lijstalinea"/>
        <w:ind w:left="360"/>
      </w:pPr>
      <w:r>
        <w:sym w:font="Wingdings" w:char="00A8"/>
      </w:r>
      <w:r>
        <w:t xml:space="preserve">Hot-fill (up to </w:t>
      </w:r>
      <w:r>
        <w:rPr>
          <w:rFonts w:eastAsia="SimSun" w:hint="eastAsia"/>
          <w:u w:val="single"/>
          <w:lang w:eastAsia="zh-CN"/>
        </w:rPr>
        <w:t>100</w:t>
      </w:r>
      <w:r>
        <w:t xml:space="preserve"> °C)</w:t>
      </w:r>
    </w:p>
    <w:p w14:paraId="14DB1D2E" w14:textId="77777777" w:rsidR="00253EF4" w:rsidRDefault="00000000">
      <w:pPr>
        <w:pStyle w:val="Lijstalinea"/>
        <w:numPr>
          <w:ilvl w:val="0"/>
          <w:numId w:val="15"/>
        </w:numPr>
      </w:pPr>
      <w:r>
        <w:t>Microwave heating</w:t>
      </w:r>
    </w:p>
    <w:p w14:paraId="34FB3485" w14:textId="77777777" w:rsidR="00253EF4" w:rsidRDefault="00000000">
      <w:pPr>
        <w:pStyle w:val="Lijstalinea"/>
        <w:numPr>
          <w:ilvl w:val="0"/>
          <w:numId w:val="15"/>
        </w:numPr>
      </w:pPr>
      <w:r>
        <w:t>Oven use</w:t>
      </w:r>
    </w:p>
    <w:p w14:paraId="241A9EBF" w14:textId="77777777" w:rsidR="00253EF4" w:rsidRDefault="00000000">
      <w:pPr>
        <w:rPr>
          <w:u w:val="single"/>
        </w:rPr>
      </w:pPr>
      <w:r>
        <w:t xml:space="preserve">Contact time / temperature (if specific): </w:t>
      </w:r>
      <w:r>
        <w:rPr>
          <w:rFonts w:ascii="Bahnschrift Light SemiCondensed" w:eastAsia="SimSun" w:hAnsi="Bahnschrift Light SemiCondensed" w:cs="Calibri"/>
          <w:u w:val="single"/>
          <w:lang w:eastAsia="zh-CN"/>
        </w:rPr>
        <w:t xml:space="preserve">food contact at temperatures from 0°C to </w:t>
      </w:r>
      <w:r>
        <w:rPr>
          <w:rFonts w:ascii="Bahnschrift Light SemiCondensed" w:eastAsia="SimSun" w:hAnsi="Bahnschrift Light SemiCondensed" w:cs="Calibri" w:hint="eastAsia"/>
          <w:u w:val="single"/>
          <w:lang w:eastAsia="zh-CN"/>
        </w:rPr>
        <w:t>10</w:t>
      </w:r>
      <w:r>
        <w:rPr>
          <w:rFonts w:ascii="Bahnschrift Light SemiCondensed" w:eastAsia="SimSun" w:hAnsi="Bahnschrift Light SemiCondensed" w:cs="Calibri"/>
          <w:u w:val="single"/>
          <w:lang w:eastAsia="zh-CN"/>
        </w:rPr>
        <w:t xml:space="preserve">0°C for </w:t>
      </w:r>
      <w:r>
        <w:rPr>
          <w:rFonts w:ascii="Bahnschrift Light SemiCondensed" w:eastAsia="SimSun" w:hAnsi="Bahnschrift Light SemiCondensed" w:cs="Calibri" w:hint="eastAsia"/>
          <w:u w:val="single"/>
          <w:lang w:eastAsia="zh-CN"/>
        </w:rPr>
        <w:t>30mins -1 hour</w:t>
      </w:r>
    </w:p>
    <w:p w14:paraId="2C48C35B" w14:textId="77777777" w:rsidR="00253EF4" w:rsidRDefault="00000000">
      <w:r>
        <w:t>Food contact surface-to-volume ratio (if relevant): ______________</w:t>
      </w:r>
    </w:p>
    <w:p w14:paraId="7E7B35D9" w14:textId="77777777" w:rsidR="00253EF4" w:rsidRDefault="00000000">
      <w:pPr>
        <w:pStyle w:val="Kop1"/>
      </w:pPr>
      <w:r>
        <w:t>6. Testing and Supporting Documentation</w:t>
      </w:r>
    </w:p>
    <w:p w14:paraId="57CDC416" w14:textId="77777777" w:rsidR="00253EF4" w:rsidRDefault="00000000">
      <w:pPr>
        <w:pStyle w:val="Lijstalinea"/>
        <w:ind w:left="360"/>
        <w:rPr>
          <w:lang w:val="en-GB"/>
        </w:rPr>
      </w:pPr>
      <w:r>
        <w:sym w:font="Wingdings" w:char="00FE"/>
      </w:r>
      <w:r>
        <w:rPr>
          <w:rFonts w:eastAsia="SimSun" w:hint="eastAsia"/>
          <w:lang w:eastAsia="zh-CN"/>
        </w:rPr>
        <w:t xml:space="preserve"> </w:t>
      </w:r>
      <w:r>
        <w:t>Migration testing carried out with appropriate food simulants: please add test report (t</w:t>
      </w:r>
      <w:r>
        <w:rPr>
          <w:lang w:val="en-GB"/>
        </w:rPr>
        <w:t>he ratio of food contact surface area to volume used in overall migration testing to determine the compliance of the sample is 10.0 dm²/kg )</w:t>
      </w:r>
    </w:p>
    <w:p w14:paraId="0BE85C62" w14:textId="77777777" w:rsidR="00253EF4" w:rsidRDefault="00000000">
      <w:pPr>
        <w:pStyle w:val="Lijstalinea"/>
        <w:numPr>
          <w:ilvl w:val="0"/>
          <w:numId w:val="16"/>
        </w:numPr>
      </w:pPr>
      <w:r>
        <w:lastRenderedPageBreak/>
        <w:t>Supporting test reports available upon request</w:t>
      </w:r>
    </w:p>
    <w:p w14:paraId="6C2CCDA7" w14:textId="77777777" w:rsidR="00253EF4" w:rsidRDefault="00000000">
      <w:pPr>
        <w:pStyle w:val="Lijstalinea"/>
        <w:numPr>
          <w:ilvl w:val="0"/>
          <w:numId w:val="16"/>
        </w:numPr>
      </w:pPr>
      <w:r>
        <w:t>Worst-case calculation / modelling performed (if applicable)</w:t>
      </w:r>
    </w:p>
    <w:p w14:paraId="0DDA6666" w14:textId="77777777" w:rsidR="00253EF4" w:rsidRDefault="00000000">
      <w:pPr>
        <w:pStyle w:val="Kop1"/>
      </w:pPr>
      <w:r>
        <w:t>7. Validity and Traceability</w:t>
      </w:r>
    </w:p>
    <w:p w14:paraId="0E970BBC" w14:textId="77777777" w:rsidR="00253EF4" w:rsidRDefault="00000000">
      <w:r>
        <w:t>This DoC is valid for the product under the conditions described.</w:t>
      </w:r>
    </w:p>
    <w:p w14:paraId="53A9D302" w14:textId="77777777" w:rsidR="00253EF4" w:rsidRDefault="00000000">
      <w:r>
        <w:t>The supplier commits to inform downstream users/customers in case of changes that affect compliance.</w:t>
      </w:r>
    </w:p>
    <w:p w14:paraId="3510D7E8" w14:textId="77777777" w:rsidR="00253EF4" w:rsidRDefault="00000000">
      <w:r>
        <w:t>Traceability is ensured according to Article 17 of Regulation (EC) No 1935/2004.</w:t>
      </w:r>
    </w:p>
    <w:p w14:paraId="6237B380" w14:textId="77777777" w:rsidR="00253EF4" w:rsidRDefault="00253EF4"/>
    <w:p w14:paraId="0DEE15A3" w14:textId="77777777" w:rsidR="00253EF4" w:rsidRDefault="00000000">
      <w:pPr>
        <w:pStyle w:val="Kop1"/>
      </w:pPr>
      <w:r>
        <w:t>8. PPWR</w:t>
      </w:r>
    </w:p>
    <w:p w14:paraId="01C0C36B" w14:textId="77777777" w:rsidR="00253EF4" w:rsidRDefault="00000000">
      <w:r>
        <w:t>We confirm that our operations and product portfolio are fully aligned with the requirements set forth in the forthcoming EU Packaging and Packaging Waste Regulation (PPWR as regulated by EU Regulation 2025/40).</w:t>
      </w:r>
    </w:p>
    <w:p w14:paraId="5B1591FF" w14:textId="77777777" w:rsidR="00253EF4" w:rsidRDefault="00253EF4"/>
    <w:p w14:paraId="658ED155" w14:textId="77777777" w:rsidR="00253EF4" w:rsidRDefault="00000000">
      <w:r>
        <w:t>We are committed to providing circular and sustainable packaging solutions, and our processes and materials are developed in line with the following core principles of the PPWR:</w:t>
      </w:r>
    </w:p>
    <w:p w14:paraId="330197BA" w14:textId="77777777" w:rsidR="00253EF4" w:rsidRDefault="00000000">
      <w:pPr>
        <w:pStyle w:val="Lijstalinea"/>
        <w:numPr>
          <w:ilvl w:val="0"/>
          <w:numId w:val="17"/>
        </w:numPr>
      </w:pPr>
      <w:r>
        <w:t>Recyclability: Our packaging is designed for high-quality recycling (design for recycling) and complies with recognized recyclability criteria. We prioritize mono-material solutions where feasible and avoid non-recyclable coatings or additives.</w:t>
      </w:r>
    </w:p>
    <w:p w14:paraId="5F2678FC" w14:textId="77777777" w:rsidR="00253EF4" w:rsidRDefault="00000000">
      <w:pPr>
        <w:pStyle w:val="Lijstalinea"/>
        <w:numPr>
          <w:ilvl w:val="0"/>
          <w:numId w:val="17"/>
        </w:numPr>
      </w:pPr>
      <w:r>
        <w:t>Use of Recycled Material: Where applicable and permitted for the intended application, our products incorporate post-consumer recycled content in line with the PPWR targets.</w:t>
      </w:r>
    </w:p>
    <w:p w14:paraId="61FC4126" w14:textId="77777777" w:rsidR="00253EF4" w:rsidRDefault="00000000">
      <w:pPr>
        <w:pStyle w:val="Lijstalinea"/>
        <w:numPr>
          <w:ilvl w:val="0"/>
          <w:numId w:val="17"/>
        </w:numPr>
      </w:pPr>
      <w:r>
        <w:t>Reusability and Source Reduction: We continuously optimize our packaging designs to reduce material use without compromising functionality, safety, or performance.</w:t>
      </w:r>
    </w:p>
    <w:p w14:paraId="255C3456" w14:textId="77777777" w:rsidR="00253EF4" w:rsidRDefault="00000000">
      <w:pPr>
        <w:pStyle w:val="Lijstalinea"/>
        <w:numPr>
          <w:ilvl w:val="0"/>
          <w:numId w:val="17"/>
        </w:numPr>
      </w:pPr>
      <w:r>
        <w:t>Traceability and Transparency: We ensure full documentation of material flows and comply with requirements for product information, including the future obligations related to digital product passports.</w:t>
      </w:r>
    </w:p>
    <w:p w14:paraId="5D507F70" w14:textId="77777777" w:rsidR="00253EF4" w:rsidRDefault="00000000">
      <w:r>
        <w:t>We closely follow the development of the PPWR and proactively implement additional requirements as soon as they are finalized. Our customers can rely on us not only to comply with current regulations, but also to innovate with a forward-looking approach to sustainability and compliance.</w:t>
      </w:r>
    </w:p>
    <w:p w14:paraId="7435CE5D" w14:textId="77777777" w:rsidR="00253EF4" w:rsidRDefault="00000000">
      <w:pPr>
        <w:pStyle w:val="Kop1"/>
      </w:pPr>
      <w:r>
        <w:lastRenderedPageBreak/>
        <w:t>9. Declaration</w:t>
      </w:r>
    </w:p>
    <w:p w14:paraId="4F3ACE74" w14:textId="77777777" w:rsidR="00253EF4" w:rsidRDefault="00000000">
      <w:pPr>
        <w:rPr>
          <w:rFonts w:eastAsia="SimSun"/>
          <w:lang w:eastAsia="zh-CN"/>
        </w:rPr>
      </w:pPr>
      <w:r>
        <w:t>We hereby declare that the above-mentioned material/article complies with the applicable requirements of EU food contact legislation.</w:t>
      </w:r>
    </w:p>
    <w:p w14:paraId="1E0F1DF8" w14:textId="77777777" w:rsidR="00253EF4" w:rsidRDefault="00253EF4">
      <w:pPr>
        <w:rPr>
          <w:rFonts w:eastAsia="SimSun"/>
          <w:lang w:eastAsia="zh-CN"/>
        </w:rPr>
      </w:pPr>
    </w:p>
    <w:p w14:paraId="44FD872A" w14:textId="170FFA57" w:rsidR="00253EF4" w:rsidRDefault="00000000">
      <w:pPr>
        <w:rPr>
          <w:rFonts w:eastAsia="SimSun"/>
          <w:u w:val="single"/>
          <w:lang w:eastAsia="zh-CN"/>
        </w:rPr>
      </w:pPr>
      <w:r>
        <w:t xml:space="preserve">Place: </w:t>
      </w:r>
      <w:r w:rsidR="00CC4B54">
        <w:rPr>
          <w:rFonts w:eastAsia="SimSun"/>
          <w:u w:val="single"/>
          <w:lang w:eastAsia="zh-CN"/>
        </w:rPr>
        <w:t>Oudenaarde, Belgium</w:t>
      </w:r>
    </w:p>
    <w:p w14:paraId="4D372874" w14:textId="02C478C9" w:rsidR="00253EF4" w:rsidRDefault="00000000">
      <w:pPr>
        <w:rPr>
          <w:rFonts w:eastAsia="SimSun"/>
          <w:u w:val="single"/>
          <w:lang w:eastAsia="zh-CN"/>
        </w:rPr>
      </w:pPr>
      <w:r>
        <w:t xml:space="preserve">Date: </w:t>
      </w:r>
      <w:r w:rsidR="00CC4B54">
        <w:rPr>
          <w:rFonts w:eastAsia="SimSun"/>
          <w:u w:val="single"/>
          <w:lang w:eastAsia="zh-CN"/>
        </w:rPr>
        <w:t>18/11/2025</w:t>
      </w:r>
    </w:p>
    <w:p w14:paraId="5817CDF2" w14:textId="465A5690" w:rsidR="00253EF4" w:rsidRDefault="00CC4B54">
      <w:pPr>
        <w:rPr>
          <w:rFonts w:eastAsia="SimSun"/>
          <w:lang w:eastAsia="zh-CN"/>
        </w:rPr>
      </w:pPr>
      <w:r>
        <w:rPr>
          <w:noProof/>
        </w:rPr>
        <w:drawing>
          <wp:anchor distT="0" distB="0" distL="114300" distR="114300" simplePos="0" relativeHeight="251658240" behindDoc="0" locked="0" layoutInCell="1" allowOverlap="1" wp14:anchorId="068744D7" wp14:editId="4CE431E6">
            <wp:simplePos x="0" y="0"/>
            <wp:positionH relativeFrom="margin">
              <wp:posOffset>647700</wp:posOffset>
            </wp:positionH>
            <wp:positionV relativeFrom="paragraph">
              <wp:posOffset>281305</wp:posOffset>
            </wp:positionV>
            <wp:extent cx="1438275" cy="583277"/>
            <wp:effectExtent l="0" t="0" r="0" b="7620"/>
            <wp:wrapNone/>
            <wp:docPr id="543734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34791" name="Afbeelding 543734791"/>
                    <pic:cNvPicPr/>
                  </pic:nvPicPr>
                  <pic:blipFill>
                    <a:blip r:embed="rId9"/>
                    <a:stretch>
                      <a:fillRect/>
                    </a:stretch>
                  </pic:blipFill>
                  <pic:spPr>
                    <a:xfrm>
                      <a:off x="0" y="0"/>
                      <a:ext cx="1438275" cy="583277"/>
                    </a:xfrm>
                    <a:prstGeom prst="rect">
                      <a:avLst/>
                    </a:prstGeom>
                  </pic:spPr>
                </pic:pic>
              </a:graphicData>
            </a:graphic>
            <wp14:sizeRelH relativeFrom="margin">
              <wp14:pctWidth>0</wp14:pctWidth>
            </wp14:sizeRelH>
            <wp14:sizeRelV relativeFrom="margin">
              <wp14:pctHeight>0</wp14:pctHeight>
            </wp14:sizeRelV>
          </wp:anchor>
        </w:drawing>
      </w:r>
      <w:r>
        <w:t xml:space="preserve">Name and Function: </w:t>
      </w:r>
      <w:r>
        <w:rPr>
          <w:rFonts w:eastAsia="SimSun"/>
          <w:u w:val="single"/>
          <w:lang w:eastAsia="zh-CN"/>
        </w:rPr>
        <w:t>Alex Gallez</w:t>
      </w:r>
      <w:r>
        <w:rPr>
          <w:rFonts w:eastAsia="SimSun" w:hint="eastAsia"/>
          <w:u w:val="single"/>
          <w:lang w:eastAsia="zh-CN"/>
        </w:rPr>
        <w:t>/Sales</w:t>
      </w:r>
    </w:p>
    <w:p w14:paraId="244494A8" w14:textId="77777777" w:rsidR="00253EF4" w:rsidRDefault="00000000">
      <w:r>
        <w:t>Signature: _______________________</w:t>
      </w:r>
    </w:p>
    <w:sectPr w:rsidR="00253EF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83E4" w14:textId="77777777" w:rsidR="00CA21F6" w:rsidRDefault="00CA21F6">
      <w:pPr>
        <w:spacing w:line="240" w:lineRule="auto"/>
      </w:pPr>
      <w:r>
        <w:separator/>
      </w:r>
    </w:p>
  </w:endnote>
  <w:endnote w:type="continuationSeparator" w:id="0">
    <w:p w14:paraId="616D213C" w14:textId="77777777" w:rsidR="00CA21F6" w:rsidRDefault="00CA2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3658" w14:textId="77777777" w:rsidR="00253EF4" w:rsidRDefault="00253E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801079"/>
    </w:sdtPr>
    <w:sdtContent>
      <w:sdt>
        <w:sdtPr>
          <w:id w:val="1728636285"/>
        </w:sdtPr>
        <w:sdtContent>
          <w:p w14:paraId="02EDA52A" w14:textId="77777777" w:rsidR="00253EF4" w:rsidRDefault="00000000">
            <w:pPr>
              <w:pStyle w:val="Voettekst"/>
              <w:jc w:val="center"/>
            </w:pPr>
            <w:r>
              <w:rPr>
                <w:lang w:val="nl-NL"/>
              </w:rPr>
              <w:t xml:space="preserve">Page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of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1E5F520" w14:textId="77777777" w:rsidR="00253EF4" w:rsidRDefault="00253E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A414" w14:textId="77777777" w:rsidR="00253EF4" w:rsidRDefault="00253E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CF398" w14:textId="77777777" w:rsidR="00CA21F6" w:rsidRDefault="00CA21F6">
      <w:pPr>
        <w:spacing w:after="0"/>
      </w:pPr>
      <w:r>
        <w:separator/>
      </w:r>
    </w:p>
  </w:footnote>
  <w:footnote w:type="continuationSeparator" w:id="0">
    <w:p w14:paraId="38D8D140" w14:textId="77777777" w:rsidR="00CA21F6" w:rsidRDefault="00CA2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3039" w14:textId="77777777" w:rsidR="00253EF4" w:rsidRDefault="00253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0CD7" w14:textId="77777777" w:rsidR="00253EF4" w:rsidRDefault="00000000">
    <w:pPr>
      <w:pStyle w:val="Koptekst"/>
    </w:pPr>
    <w:r>
      <w:rPr>
        <w:noProof/>
      </w:rPr>
      <w:drawing>
        <wp:inline distT="0" distB="0" distL="0" distR="0" wp14:anchorId="5838FD79" wp14:editId="1D60FAAD">
          <wp:extent cx="1379220" cy="743585"/>
          <wp:effectExtent l="0" t="0" r="0" b="0"/>
          <wp:docPr id="120884172" name="Afbeelding 1" descr="Bio Degradable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4172" name="Afbeelding 1" descr="Bio Degradable Packag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0000" cy="749468"/>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72B1" w14:textId="77777777" w:rsidR="00253EF4" w:rsidRDefault="00253E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jstnummering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jstnummering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jstopsomteken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jstopsomteken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jstnummering"/>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jstopsomteken"/>
      <w:lvlText w:val=""/>
      <w:lvlJc w:val="left"/>
      <w:pPr>
        <w:tabs>
          <w:tab w:val="left" w:pos="360"/>
        </w:tabs>
        <w:ind w:left="360" w:hanging="360"/>
      </w:pPr>
      <w:rPr>
        <w:rFonts w:ascii="Symbol" w:hAnsi="Symbol" w:hint="default"/>
      </w:rPr>
    </w:lvl>
  </w:abstractNum>
  <w:abstractNum w:abstractNumId="6" w15:restartNumberingAfterBreak="0">
    <w:nsid w:val="18DD08C3"/>
    <w:multiLevelType w:val="multilevel"/>
    <w:tmpl w:val="18DD08C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2E573E"/>
    <w:multiLevelType w:val="multilevel"/>
    <w:tmpl w:val="322E573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34CF2"/>
    <w:multiLevelType w:val="multilevel"/>
    <w:tmpl w:val="39F34CF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6534"/>
    <w:multiLevelType w:val="multilevel"/>
    <w:tmpl w:val="42B5653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E00083"/>
    <w:multiLevelType w:val="multilevel"/>
    <w:tmpl w:val="44E0008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B61326"/>
    <w:multiLevelType w:val="multilevel"/>
    <w:tmpl w:val="54B6132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C262A4"/>
    <w:multiLevelType w:val="multilevel"/>
    <w:tmpl w:val="5BC262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6E3D42"/>
    <w:multiLevelType w:val="multilevel"/>
    <w:tmpl w:val="636E3D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97CD8"/>
    <w:multiLevelType w:val="multilevel"/>
    <w:tmpl w:val="66C97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FA58E1"/>
    <w:multiLevelType w:val="multilevel"/>
    <w:tmpl w:val="69FA58E1"/>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1541DC"/>
    <w:multiLevelType w:val="multilevel"/>
    <w:tmpl w:val="7E154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191368">
    <w:abstractNumId w:val="1"/>
  </w:num>
  <w:num w:numId="2" w16cid:durableId="1432965870">
    <w:abstractNumId w:val="4"/>
  </w:num>
  <w:num w:numId="3" w16cid:durableId="2090223952">
    <w:abstractNumId w:val="5"/>
  </w:num>
  <w:num w:numId="4" w16cid:durableId="1660693610">
    <w:abstractNumId w:val="2"/>
  </w:num>
  <w:num w:numId="5" w16cid:durableId="43069757">
    <w:abstractNumId w:val="0"/>
  </w:num>
  <w:num w:numId="6" w16cid:durableId="272245154">
    <w:abstractNumId w:val="3"/>
  </w:num>
  <w:num w:numId="7" w16cid:durableId="920944334">
    <w:abstractNumId w:val="11"/>
  </w:num>
  <w:num w:numId="8" w16cid:durableId="1207723284">
    <w:abstractNumId w:val="12"/>
  </w:num>
  <w:num w:numId="9" w16cid:durableId="994843937">
    <w:abstractNumId w:val="15"/>
  </w:num>
  <w:num w:numId="10" w16cid:durableId="1740859633">
    <w:abstractNumId w:val="7"/>
  </w:num>
  <w:num w:numId="11" w16cid:durableId="979185884">
    <w:abstractNumId w:val="8"/>
  </w:num>
  <w:num w:numId="12" w16cid:durableId="2085250164">
    <w:abstractNumId w:val="14"/>
  </w:num>
  <w:num w:numId="13" w16cid:durableId="1932007284">
    <w:abstractNumId w:val="13"/>
  </w:num>
  <w:num w:numId="14" w16cid:durableId="1309359985">
    <w:abstractNumId w:val="9"/>
  </w:num>
  <w:num w:numId="15" w16cid:durableId="1840849242">
    <w:abstractNumId w:val="6"/>
  </w:num>
  <w:num w:numId="16" w16cid:durableId="1019741855">
    <w:abstractNumId w:val="10"/>
  </w:num>
  <w:num w:numId="17" w16cid:durableId="339435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ZTM2MGRhYTcwMThmOGQ0NzZmOWY0Y2EyMzgyYzUifQ=="/>
  </w:docVars>
  <w:rsids>
    <w:rsidRoot w:val="00B47730"/>
    <w:rsid w:val="00034616"/>
    <w:rsid w:val="0004217F"/>
    <w:rsid w:val="0006063C"/>
    <w:rsid w:val="0015074B"/>
    <w:rsid w:val="00166616"/>
    <w:rsid w:val="001A0E6D"/>
    <w:rsid w:val="001B6B0B"/>
    <w:rsid w:val="00253EF4"/>
    <w:rsid w:val="0029639D"/>
    <w:rsid w:val="00326F90"/>
    <w:rsid w:val="00411280"/>
    <w:rsid w:val="0041295C"/>
    <w:rsid w:val="0043388A"/>
    <w:rsid w:val="0047240C"/>
    <w:rsid w:val="00510B92"/>
    <w:rsid w:val="00522660"/>
    <w:rsid w:val="006477D2"/>
    <w:rsid w:val="00660E2E"/>
    <w:rsid w:val="006B4517"/>
    <w:rsid w:val="00784725"/>
    <w:rsid w:val="007C4E3B"/>
    <w:rsid w:val="007D5591"/>
    <w:rsid w:val="008154B5"/>
    <w:rsid w:val="0087587D"/>
    <w:rsid w:val="0089541E"/>
    <w:rsid w:val="008A3867"/>
    <w:rsid w:val="008D1848"/>
    <w:rsid w:val="008E1C60"/>
    <w:rsid w:val="009464E3"/>
    <w:rsid w:val="00972A9E"/>
    <w:rsid w:val="009A47D2"/>
    <w:rsid w:val="00AA1D8D"/>
    <w:rsid w:val="00AA3BCA"/>
    <w:rsid w:val="00B47730"/>
    <w:rsid w:val="00B743D4"/>
    <w:rsid w:val="00B9452E"/>
    <w:rsid w:val="00BD46E8"/>
    <w:rsid w:val="00BE3D2E"/>
    <w:rsid w:val="00BF527B"/>
    <w:rsid w:val="00CA21F6"/>
    <w:rsid w:val="00CB0664"/>
    <w:rsid w:val="00CC4B54"/>
    <w:rsid w:val="00CF27DC"/>
    <w:rsid w:val="00D0614A"/>
    <w:rsid w:val="00D8416C"/>
    <w:rsid w:val="00E14482"/>
    <w:rsid w:val="00E65467"/>
    <w:rsid w:val="00E9242C"/>
    <w:rsid w:val="00F23544"/>
    <w:rsid w:val="00F3375B"/>
    <w:rsid w:val="00F42A4A"/>
    <w:rsid w:val="00F5346F"/>
    <w:rsid w:val="00FC28C6"/>
    <w:rsid w:val="00FC693F"/>
    <w:rsid w:val="00FD51E5"/>
    <w:rsid w:val="17537E07"/>
    <w:rsid w:val="2AFC4575"/>
    <w:rsid w:val="30804C65"/>
    <w:rsid w:val="35BD64C6"/>
    <w:rsid w:val="43314498"/>
    <w:rsid w:val="52A26E55"/>
    <w:rsid w:val="75322200"/>
    <w:rsid w:val="7F802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857951E"/>
  <w14:defaultImageDpi w14:val="300"/>
  <w15:docId w15:val="{1D472BAA-7083-48E6-8652-B86D56DC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pPr>
      <w:spacing w:after="200" w:line="276" w:lineRule="auto"/>
    </w:pPr>
    <w:rPr>
      <w:rFonts w:asciiTheme="minorHAnsi" w:eastAsiaTheme="minorEastAsia" w:hAnsiTheme="minorHAnsi" w:cstheme="minorBidi"/>
      <w:sz w:val="22"/>
      <w:szCs w:val="22"/>
      <w:lang w:val="en-US" w:eastAsia="en-US"/>
    </w:rPr>
  </w:style>
  <w:style w:type="paragraph" w:styleId="Kop1">
    <w:name w:val="heading 1"/>
    <w:basedOn w:val="Standaard"/>
    <w:next w:val="Standaard"/>
    <w:link w:val="Kop1Char"/>
    <w:autoRedefin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autoRedefin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autoRedefine/>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autoRedefine/>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Kop6">
    <w:name w:val="heading 6"/>
    <w:basedOn w:val="Standaard"/>
    <w:next w:val="Standaard"/>
    <w:link w:val="Kop6Char"/>
    <w:autoRedefine/>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Kop7">
    <w:name w:val="heading 7"/>
    <w:basedOn w:val="Standaard"/>
    <w:next w:val="Standaard"/>
    <w:link w:val="Kop7Char"/>
    <w:autoRedefin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autoRedefine/>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autoRedefin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link w:val="MacrotekstChar"/>
    <w:autoRedefin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Lijst3">
    <w:name w:val="List 3"/>
    <w:basedOn w:val="Standaard"/>
    <w:autoRedefine/>
    <w:uiPriority w:val="99"/>
    <w:unhideWhenUsed/>
    <w:qFormat/>
    <w:pPr>
      <w:ind w:left="1080" w:hanging="360"/>
      <w:contextualSpacing/>
    </w:pPr>
  </w:style>
  <w:style w:type="paragraph" w:styleId="Lijstnummering2">
    <w:name w:val="List Number 2"/>
    <w:basedOn w:val="Standaard"/>
    <w:autoRedefine/>
    <w:uiPriority w:val="99"/>
    <w:unhideWhenUsed/>
    <w:qFormat/>
    <w:pPr>
      <w:numPr>
        <w:numId w:val="1"/>
      </w:numPr>
      <w:contextualSpacing/>
    </w:pPr>
  </w:style>
  <w:style w:type="paragraph" w:styleId="Lijstnummering">
    <w:name w:val="List Number"/>
    <w:basedOn w:val="Standaard"/>
    <w:autoRedefine/>
    <w:uiPriority w:val="99"/>
    <w:unhideWhenUsed/>
    <w:qFormat/>
    <w:pPr>
      <w:numPr>
        <w:numId w:val="2"/>
      </w:numPr>
      <w:contextualSpacing/>
    </w:pPr>
  </w:style>
  <w:style w:type="paragraph" w:styleId="Bijschrift">
    <w:name w:val="caption"/>
    <w:basedOn w:val="Standaard"/>
    <w:next w:val="Standaard"/>
    <w:autoRedefine/>
    <w:uiPriority w:val="35"/>
    <w:semiHidden/>
    <w:unhideWhenUsed/>
    <w:qFormat/>
    <w:pPr>
      <w:spacing w:line="240" w:lineRule="auto"/>
    </w:pPr>
    <w:rPr>
      <w:b/>
      <w:bCs/>
      <w:color w:val="4F81BD" w:themeColor="accent1"/>
      <w:sz w:val="18"/>
      <w:szCs w:val="18"/>
    </w:rPr>
  </w:style>
  <w:style w:type="paragraph" w:styleId="Lijstopsomteken">
    <w:name w:val="List Bullet"/>
    <w:basedOn w:val="Standaard"/>
    <w:autoRedefine/>
    <w:uiPriority w:val="99"/>
    <w:unhideWhenUsed/>
    <w:qFormat/>
    <w:pPr>
      <w:numPr>
        <w:numId w:val="3"/>
      </w:numPr>
      <w:contextualSpacing/>
    </w:pPr>
  </w:style>
  <w:style w:type="paragraph" w:styleId="Plattetekst3">
    <w:name w:val="Body Text 3"/>
    <w:basedOn w:val="Standaard"/>
    <w:link w:val="Plattetekst3Char"/>
    <w:autoRedefine/>
    <w:uiPriority w:val="99"/>
    <w:unhideWhenUsed/>
    <w:qFormat/>
    <w:pPr>
      <w:spacing w:after="120"/>
    </w:pPr>
    <w:rPr>
      <w:sz w:val="16"/>
      <w:szCs w:val="16"/>
    </w:rPr>
  </w:style>
  <w:style w:type="paragraph" w:styleId="Lijstopsomteken3">
    <w:name w:val="List Bullet 3"/>
    <w:basedOn w:val="Standaard"/>
    <w:autoRedefine/>
    <w:uiPriority w:val="99"/>
    <w:unhideWhenUsed/>
    <w:qFormat/>
    <w:pPr>
      <w:numPr>
        <w:numId w:val="4"/>
      </w:numPr>
      <w:contextualSpacing/>
    </w:pPr>
  </w:style>
  <w:style w:type="paragraph" w:styleId="Plattetekst">
    <w:name w:val="Body Text"/>
    <w:basedOn w:val="Standaard"/>
    <w:link w:val="PlattetekstChar"/>
    <w:autoRedefine/>
    <w:uiPriority w:val="99"/>
    <w:unhideWhenUsed/>
    <w:qFormat/>
    <w:pPr>
      <w:spacing w:after="120"/>
    </w:pPr>
  </w:style>
  <w:style w:type="paragraph" w:styleId="Lijstnummering3">
    <w:name w:val="List Number 3"/>
    <w:basedOn w:val="Standaard"/>
    <w:autoRedefine/>
    <w:uiPriority w:val="99"/>
    <w:unhideWhenUsed/>
    <w:qFormat/>
    <w:pPr>
      <w:numPr>
        <w:numId w:val="5"/>
      </w:numPr>
      <w:contextualSpacing/>
    </w:pPr>
  </w:style>
  <w:style w:type="paragraph" w:styleId="Lijst2">
    <w:name w:val="List 2"/>
    <w:basedOn w:val="Standaard"/>
    <w:autoRedefine/>
    <w:uiPriority w:val="99"/>
    <w:unhideWhenUsed/>
    <w:qFormat/>
    <w:pPr>
      <w:ind w:left="720" w:hanging="360"/>
      <w:contextualSpacing/>
    </w:pPr>
  </w:style>
  <w:style w:type="paragraph" w:styleId="Lijstvoortzetting">
    <w:name w:val="List Continue"/>
    <w:basedOn w:val="Standaard"/>
    <w:autoRedefine/>
    <w:uiPriority w:val="99"/>
    <w:unhideWhenUsed/>
    <w:qFormat/>
    <w:pPr>
      <w:spacing w:after="120"/>
      <w:ind w:left="360"/>
      <w:contextualSpacing/>
    </w:pPr>
  </w:style>
  <w:style w:type="paragraph" w:styleId="Lijstopsomteken2">
    <w:name w:val="List Bullet 2"/>
    <w:basedOn w:val="Standaard"/>
    <w:autoRedefine/>
    <w:uiPriority w:val="99"/>
    <w:unhideWhenUsed/>
    <w:qFormat/>
    <w:pPr>
      <w:numPr>
        <w:numId w:val="6"/>
      </w:numPr>
      <w:contextualSpacing/>
    </w:pPr>
  </w:style>
  <w:style w:type="paragraph" w:styleId="Voettekst">
    <w:name w:val="footer"/>
    <w:basedOn w:val="Standaard"/>
    <w:link w:val="VoettekstChar"/>
    <w:autoRedefine/>
    <w:uiPriority w:val="99"/>
    <w:unhideWhenUsed/>
    <w:qFormat/>
    <w:pPr>
      <w:tabs>
        <w:tab w:val="center" w:pos="4680"/>
        <w:tab w:val="right" w:pos="9360"/>
      </w:tabs>
      <w:spacing w:after="0" w:line="240" w:lineRule="auto"/>
    </w:pPr>
  </w:style>
  <w:style w:type="paragraph" w:styleId="Koptekst">
    <w:name w:val="header"/>
    <w:basedOn w:val="Standaard"/>
    <w:link w:val="KoptekstChar"/>
    <w:autoRedefine/>
    <w:uiPriority w:val="99"/>
    <w:unhideWhenUsed/>
    <w:qFormat/>
    <w:pPr>
      <w:tabs>
        <w:tab w:val="center" w:pos="4680"/>
        <w:tab w:val="right" w:pos="9360"/>
      </w:tabs>
      <w:spacing w:after="0" w:line="240" w:lineRule="auto"/>
    </w:pPr>
  </w:style>
  <w:style w:type="paragraph" w:styleId="Ondertitel">
    <w:name w:val="Subtitle"/>
    <w:basedOn w:val="Standaard"/>
    <w:next w:val="Standaard"/>
    <w:link w:val="OndertitelChar"/>
    <w:autoRedefine/>
    <w:uiPriority w:val="11"/>
    <w:qFormat/>
    <w:rPr>
      <w:rFonts w:asciiTheme="majorHAnsi" w:eastAsiaTheme="majorEastAsia" w:hAnsiTheme="majorHAnsi" w:cstheme="majorBidi"/>
      <w:i/>
      <w:iCs/>
      <w:color w:val="4F81BD" w:themeColor="accent1"/>
      <w:spacing w:val="15"/>
      <w:sz w:val="24"/>
      <w:szCs w:val="24"/>
    </w:rPr>
  </w:style>
  <w:style w:type="paragraph" w:styleId="Lijst">
    <w:name w:val="List"/>
    <w:basedOn w:val="Standaard"/>
    <w:autoRedefine/>
    <w:uiPriority w:val="99"/>
    <w:unhideWhenUsed/>
    <w:qFormat/>
    <w:pPr>
      <w:ind w:left="360" w:hanging="360"/>
      <w:contextualSpacing/>
    </w:pPr>
  </w:style>
  <w:style w:type="paragraph" w:styleId="Plattetekst2">
    <w:name w:val="Body Text 2"/>
    <w:basedOn w:val="Standaard"/>
    <w:link w:val="Plattetekst2Char"/>
    <w:autoRedefine/>
    <w:uiPriority w:val="99"/>
    <w:unhideWhenUsed/>
    <w:qFormat/>
    <w:pPr>
      <w:spacing w:after="120" w:line="480" w:lineRule="auto"/>
    </w:pPr>
  </w:style>
  <w:style w:type="paragraph" w:styleId="Lijstvoortzetting2">
    <w:name w:val="List Continue 2"/>
    <w:basedOn w:val="Standaard"/>
    <w:autoRedefine/>
    <w:uiPriority w:val="99"/>
    <w:unhideWhenUsed/>
    <w:qFormat/>
    <w:pPr>
      <w:spacing w:after="120"/>
      <w:ind w:left="720"/>
      <w:contextualSpacing/>
    </w:pPr>
  </w:style>
  <w:style w:type="paragraph" w:styleId="Lijstvoortzetting3">
    <w:name w:val="List Continue 3"/>
    <w:basedOn w:val="Standaard"/>
    <w:autoRedefine/>
    <w:uiPriority w:val="99"/>
    <w:unhideWhenUsed/>
    <w:qFormat/>
    <w:pPr>
      <w:spacing w:after="120"/>
      <w:ind w:left="1080"/>
      <w:contextualSpacing/>
    </w:pPr>
  </w:style>
  <w:style w:type="paragraph" w:styleId="Titel">
    <w:name w:val="Title"/>
    <w:basedOn w:val="Standaard"/>
    <w:next w:val="Standaard"/>
    <w:link w:val="TitelChar"/>
    <w:autoRedefin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autoRedefine/>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autoRedefine/>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autoRedefine/>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autoRedefine/>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autoRedefine/>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autoRedefine/>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autoRedefine/>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autoRedefine/>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autoRedefine/>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autoRedefine/>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autoRedefine/>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autoRedefine/>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autoRedefine/>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chtraster-accent1">
    <w:name w:val="Light Grid Accent 1"/>
    <w:basedOn w:val="Standaardtabel"/>
    <w:autoRedefine/>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chtraster-accent2">
    <w:name w:val="Light Grid Accent 2"/>
    <w:basedOn w:val="Standaardtabel"/>
    <w:autoRedefine/>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chtraster-accent3">
    <w:name w:val="Light Grid Accent 3"/>
    <w:basedOn w:val="Standaardtabel"/>
    <w:autoRedefine/>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chtraster-accent4">
    <w:name w:val="Light Grid Accent 4"/>
    <w:basedOn w:val="Standaardtabel"/>
    <w:autoRedefine/>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chtraster-accent5">
    <w:name w:val="Light Grid Accent 5"/>
    <w:basedOn w:val="Standaardtabel"/>
    <w:autoRedefine/>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chtraster-accent6">
    <w:name w:val="Light Grid Accent 6"/>
    <w:basedOn w:val="Standaardtabel"/>
    <w:autoRedefine/>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Gemiddeldearcering1">
    <w:name w:val="Medium Shading 1"/>
    <w:basedOn w:val="Standaardtabel"/>
    <w:autoRedefine/>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autoRedefine/>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autoRedefine/>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autoRedefine/>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autoRedefine/>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autoRedefine/>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autoRedefine/>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autoRedefine/>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autoRedefine/>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autoRedefine/>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autoRedefine/>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autoRedefine/>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autoRedefine/>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autoRedefine/>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autoRedefine/>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autoRedefine/>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autoRedefine/>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autoRedefine/>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autoRedefine/>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autoRedefine/>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autoRedefine/>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autoRedefine/>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autoRedefine/>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autoRedefine/>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autoRedefine/>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autoRedefine/>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autoRedefine/>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autoRedefine/>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autoRedefine/>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autoRedefine/>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autoRedefine/>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autoRedefine/>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autoRedefine/>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autoRedefine/>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autoRedefine/>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emiddeldraster3-accent1">
    <w:name w:val="Medium Grid 3 Accent 1"/>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emiddeldraster3-accent2">
    <w:name w:val="Medium Grid 3 Accent 2"/>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emiddeldraster3-accent3">
    <w:name w:val="Medium Grid 3 Accent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emiddeldraster3-accent4">
    <w:name w:val="Medium Grid 3 Accent 4"/>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emiddeldraster3-accent5">
    <w:name w:val="Medium Grid 3 Accent 5"/>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emiddeldraster3-accent6">
    <w:name w:val="Medium Grid 3 Accent 6"/>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onkerelijst">
    <w:name w:val="Dark List"/>
    <w:basedOn w:val="Standaardtabel"/>
    <w:autoRedefine/>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autoRedefine/>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autoRedefine/>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autoRedefine/>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autoRedefine/>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autoRedefine/>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autoRedefine/>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autoRedefine/>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autoRedefine/>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autoRedefine/>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autoRedefine/>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autoRedefine/>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autoRedefine/>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autoRedefine/>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autoRedefine/>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autoRedefine/>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autoRedefine/>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autoRedefine/>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autoRedefine/>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autoRedefine/>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autoRedefine/>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autoRedefine/>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autoRedefine/>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autoRedefine/>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autoRedefine/>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autoRedefine/>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autoRedefine/>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autoRedefine/>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Zwaar">
    <w:name w:val="Strong"/>
    <w:basedOn w:val="Standaardalinea-lettertype"/>
    <w:autoRedefine/>
    <w:uiPriority w:val="22"/>
    <w:qFormat/>
    <w:rPr>
      <w:b/>
      <w:bCs/>
    </w:rPr>
  </w:style>
  <w:style w:type="character" w:styleId="Nadruk">
    <w:name w:val="Emphasis"/>
    <w:basedOn w:val="Standaardalinea-lettertype"/>
    <w:autoRedefine/>
    <w:uiPriority w:val="20"/>
    <w:qFormat/>
    <w:rPr>
      <w:i/>
      <w:iCs/>
    </w:rPr>
  </w:style>
  <w:style w:type="character" w:customStyle="1" w:styleId="KoptekstChar">
    <w:name w:val="Koptekst Char"/>
    <w:basedOn w:val="Standaardalinea-lettertype"/>
    <w:link w:val="Koptekst"/>
    <w:autoRedefine/>
    <w:uiPriority w:val="99"/>
    <w:qFormat/>
  </w:style>
  <w:style w:type="character" w:customStyle="1" w:styleId="VoettekstChar">
    <w:name w:val="Voettekst Char"/>
    <w:basedOn w:val="Standaardalinea-lettertype"/>
    <w:link w:val="Voettekst"/>
    <w:autoRedefine/>
    <w:uiPriority w:val="99"/>
    <w:qFormat/>
  </w:style>
  <w:style w:type="paragraph" w:styleId="Geenafstand">
    <w:name w:val="No Spacing"/>
    <w:autoRedefine/>
    <w:uiPriority w:val="1"/>
    <w:qFormat/>
    <w:rPr>
      <w:rFonts w:asciiTheme="minorHAnsi" w:eastAsiaTheme="minorEastAsia" w:hAnsiTheme="minorHAnsi" w:cstheme="minorBidi"/>
      <w:sz w:val="22"/>
      <w:szCs w:val="22"/>
      <w:lang w:val="en-US" w:eastAsia="en-US"/>
    </w:rPr>
  </w:style>
  <w:style w:type="character" w:customStyle="1" w:styleId="Kop1Char">
    <w:name w:val="Kop 1 Char"/>
    <w:basedOn w:val="Standaardalinea-lettertype"/>
    <w:link w:val="Kop1"/>
    <w:autoRedefine/>
    <w:uiPriority w:val="9"/>
    <w:qFormat/>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autoRedefine/>
    <w:uiPriority w:val="9"/>
    <w:qFormat/>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autoRedefine/>
    <w:uiPriority w:val="9"/>
    <w:qFormat/>
    <w:rPr>
      <w:rFonts w:asciiTheme="majorHAnsi" w:eastAsiaTheme="majorEastAsia" w:hAnsiTheme="majorHAnsi" w:cstheme="majorBidi"/>
      <w:b/>
      <w:bCs/>
      <w:color w:val="4F81BD" w:themeColor="accent1"/>
    </w:rPr>
  </w:style>
  <w:style w:type="character" w:customStyle="1" w:styleId="TitelChar">
    <w:name w:val="Titel Char"/>
    <w:basedOn w:val="Standaardalinea-lettertype"/>
    <w:link w:val="Titel"/>
    <w:autoRedefin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autoRedefine/>
    <w:uiPriority w:val="11"/>
    <w:qFormat/>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autoRedefine/>
    <w:uiPriority w:val="34"/>
    <w:qFormat/>
    <w:pPr>
      <w:ind w:left="720"/>
      <w:contextualSpacing/>
    </w:pPr>
  </w:style>
  <w:style w:type="character" w:customStyle="1" w:styleId="PlattetekstChar">
    <w:name w:val="Platte tekst Char"/>
    <w:basedOn w:val="Standaardalinea-lettertype"/>
    <w:link w:val="Plattetekst"/>
    <w:autoRedefine/>
    <w:uiPriority w:val="99"/>
    <w:qFormat/>
  </w:style>
  <w:style w:type="character" w:customStyle="1" w:styleId="Plattetekst2Char">
    <w:name w:val="Platte tekst 2 Char"/>
    <w:basedOn w:val="Standaardalinea-lettertype"/>
    <w:link w:val="Plattetekst2"/>
    <w:autoRedefine/>
    <w:uiPriority w:val="99"/>
    <w:qFormat/>
  </w:style>
  <w:style w:type="character" w:customStyle="1" w:styleId="Plattetekst3Char">
    <w:name w:val="Platte tekst 3 Char"/>
    <w:basedOn w:val="Standaardalinea-lettertype"/>
    <w:link w:val="Plattetekst3"/>
    <w:autoRedefine/>
    <w:uiPriority w:val="99"/>
    <w:qFormat/>
    <w:rPr>
      <w:sz w:val="16"/>
      <w:szCs w:val="16"/>
    </w:rPr>
  </w:style>
  <w:style w:type="character" w:customStyle="1" w:styleId="MacrotekstChar">
    <w:name w:val="Macrotekst Char"/>
    <w:basedOn w:val="Standaardalinea-lettertype"/>
    <w:link w:val="Macrotekst"/>
    <w:autoRedefine/>
    <w:uiPriority w:val="99"/>
    <w:qFormat/>
    <w:rPr>
      <w:rFonts w:ascii="Courier" w:hAnsi="Courier"/>
      <w:sz w:val="20"/>
      <w:szCs w:val="20"/>
    </w:rPr>
  </w:style>
  <w:style w:type="paragraph" w:styleId="Citaat">
    <w:name w:val="Quote"/>
    <w:basedOn w:val="Standaard"/>
    <w:next w:val="Standaard"/>
    <w:link w:val="CitaatChar"/>
    <w:autoRedefine/>
    <w:uiPriority w:val="29"/>
    <w:qFormat/>
    <w:rPr>
      <w:i/>
      <w:iCs/>
      <w:color w:val="000000" w:themeColor="text1"/>
    </w:rPr>
  </w:style>
  <w:style w:type="character" w:customStyle="1" w:styleId="CitaatChar">
    <w:name w:val="Citaat Char"/>
    <w:basedOn w:val="Standaardalinea-lettertype"/>
    <w:link w:val="Citaat"/>
    <w:autoRedefine/>
    <w:uiPriority w:val="29"/>
    <w:qFormat/>
    <w:rPr>
      <w:i/>
      <w:iCs/>
      <w:color w:val="000000" w:themeColor="text1"/>
    </w:rPr>
  </w:style>
  <w:style w:type="character" w:customStyle="1" w:styleId="Kop4Char">
    <w:name w:val="Kop 4 Char"/>
    <w:basedOn w:val="Standaardalinea-lettertype"/>
    <w:link w:val="Kop4"/>
    <w:autoRedefine/>
    <w:uiPriority w:val="9"/>
    <w:semiHidden/>
    <w:qFormat/>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autoRedefine/>
    <w:uiPriority w:val="9"/>
    <w:semiHidden/>
    <w:qFormat/>
    <w:rPr>
      <w:rFonts w:asciiTheme="majorHAnsi" w:eastAsiaTheme="majorEastAsia" w:hAnsiTheme="majorHAnsi" w:cstheme="majorBidi"/>
      <w:color w:val="244061" w:themeColor="accent1" w:themeShade="80"/>
    </w:rPr>
  </w:style>
  <w:style w:type="character" w:customStyle="1" w:styleId="Kop6Char">
    <w:name w:val="Kop 6 Char"/>
    <w:basedOn w:val="Standaardalinea-lettertype"/>
    <w:link w:val="Kop6"/>
    <w:autoRedefine/>
    <w:uiPriority w:val="9"/>
    <w:semiHidden/>
    <w:qFormat/>
    <w:rPr>
      <w:rFonts w:asciiTheme="majorHAnsi" w:eastAsiaTheme="majorEastAsia" w:hAnsiTheme="majorHAnsi" w:cstheme="majorBidi"/>
      <w:i/>
      <w:iCs/>
      <w:color w:val="244061" w:themeColor="accent1" w:themeShade="80"/>
    </w:rPr>
  </w:style>
  <w:style w:type="character" w:customStyle="1" w:styleId="Kop7Char">
    <w:name w:val="Kop 7 Char"/>
    <w:basedOn w:val="Standaardalinea-lettertype"/>
    <w:link w:val="Kop7"/>
    <w:autoRedefine/>
    <w:uiPriority w:val="9"/>
    <w:semiHidden/>
    <w:qFormat/>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autoRedefine/>
    <w:uiPriority w:val="9"/>
    <w:semiHidden/>
    <w:qFormat/>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autoRedefine/>
    <w:uiPriority w:val="9"/>
    <w:semiHidden/>
    <w:qFormat/>
    <w:rPr>
      <w:rFonts w:asciiTheme="majorHAnsi" w:eastAsiaTheme="majorEastAsia" w:hAnsiTheme="majorHAnsi" w:cstheme="majorBidi"/>
      <w:i/>
      <w:iCs/>
      <w:color w:val="404040" w:themeColor="text1" w:themeTint="BF"/>
      <w:sz w:val="20"/>
      <w:szCs w:val="20"/>
    </w:rPr>
  </w:style>
  <w:style w:type="paragraph" w:styleId="Duidelijkcitaat">
    <w:name w:val="Intense Quote"/>
    <w:basedOn w:val="Standaard"/>
    <w:next w:val="Standaard"/>
    <w:link w:val="DuidelijkcitaatChar"/>
    <w:autoRedefin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autoRedefine/>
    <w:uiPriority w:val="30"/>
    <w:qFormat/>
    <w:rPr>
      <w:b/>
      <w:bCs/>
      <w:i/>
      <w:iCs/>
      <w:color w:val="4F81BD" w:themeColor="accent1"/>
    </w:rPr>
  </w:style>
  <w:style w:type="character" w:customStyle="1" w:styleId="Subtielebenadrukking1">
    <w:name w:val="Subtiele benadrukking1"/>
    <w:basedOn w:val="Standaardalinea-lettertype"/>
    <w:autoRedefine/>
    <w:uiPriority w:val="19"/>
    <w:qFormat/>
    <w:rPr>
      <w:i/>
      <w:iCs/>
      <w:color w:val="7F7F7F" w:themeColor="text1" w:themeTint="80"/>
    </w:rPr>
  </w:style>
  <w:style w:type="character" w:customStyle="1" w:styleId="Intensievebenadrukking1">
    <w:name w:val="Intensieve benadrukking1"/>
    <w:basedOn w:val="Standaardalinea-lettertype"/>
    <w:autoRedefine/>
    <w:uiPriority w:val="21"/>
    <w:qFormat/>
    <w:rPr>
      <w:b/>
      <w:bCs/>
      <w:i/>
      <w:iCs/>
      <w:color w:val="4F81BD" w:themeColor="accent1"/>
    </w:rPr>
  </w:style>
  <w:style w:type="character" w:customStyle="1" w:styleId="Subtieleverwijzing1">
    <w:name w:val="Subtiele verwijzing1"/>
    <w:basedOn w:val="Standaardalinea-lettertype"/>
    <w:autoRedefine/>
    <w:uiPriority w:val="31"/>
    <w:qFormat/>
    <w:rPr>
      <w:smallCaps/>
      <w:color w:val="C0504D" w:themeColor="accent2"/>
      <w:u w:val="single"/>
    </w:rPr>
  </w:style>
  <w:style w:type="character" w:customStyle="1" w:styleId="Intensieveverwijzing1">
    <w:name w:val="Intensieve verwijzing1"/>
    <w:basedOn w:val="Standaardalinea-lettertype"/>
    <w:autoRedefine/>
    <w:uiPriority w:val="32"/>
    <w:qFormat/>
    <w:rPr>
      <w:b/>
      <w:bCs/>
      <w:smallCaps/>
      <w:color w:val="C0504D" w:themeColor="accent2"/>
      <w:spacing w:val="5"/>
      <w:u w:val="single"/>
    </w:rPr>
  </w:style>
  <w:style w:type="character" w:customStyle="1" w:styleId="Titelvanboek1">
    <w:name w:val="Titel van boek1"/>
    <w:basedOn w:val="Standaardalinea-lettertype"/>
    <w:autoRedefine/>
    <w:uiPriority w:val="33"/>
    <w:qFormat/>
    <w:rPr>
      <w:b/>
      <w:bCs/>
      <w:smallCaps/>
      <w:spacing w:val="5"/>
    </w:rPr>
  </w:style>
  <w:style w:type="paragraph" w:customStyle="1" w:styleId="Kopvaninhoudsopgave1">
    <w:name w:val="Kop van inhoudsopgave1"/>
    <w:basedOn w:val="Kop1"/>
    <w:next w:val="Standaard"/>
    <w:autoRedefine/>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header" Target="header3.xml" Id="rId14" /><Relationship Type="http://schemas.openxmlformats.org/officeDocument/2006/relationships/customXml" Target="/customXML/item2.xml" Id="R3dee6ce1fcb84df6"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2.xml><?xml version="1.0" encoding="utf-8"?>
<Settings xmlns:xsd="http://www.w3.org/2001/XMLSchema" xmlns:xsi="http://www.w3.org/2001/XMLSchema-instance" xmlns="http://www.adsolut.be/document/configuration">
  <DocumentId>-1</DocumentId>
  <ServerName>TCP:SRV-ADSOLUT\ADSOLUT,6604</ServerName>
  <FileName>masterkb</FileName>
  <SubFileName>100003</SubFileName>
  <SQLCredentials>tmn5N26mgqB9wLJTPgw2d7r1lktbiq3P2YlC+fxSySFHz6PC7RSiPl3umxenFetlYRk7T2nlZeJ5e9GjpxEqAD97R3GIteRIbgMAcssx4W+hdycblGukpeG2q+b/hzZt</SQLCredentials>
  <OpenedInAdsolut>false</OpenedInAdsolut>
  <UserCode/>
</Setting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1131</Words>
  <Characters>6225</Characters>
  <Application>Microsoft Office Word</Application>
  <DocSecurity>0</DocSecurity>
  <Lines>51</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Sales | BIO DEGRADABLE PACKAGING</cp:lastModifiedBy>
  <cp:revision>3</cp:revision>
  <dcterms:created xsi:type="dcterms:W3CDTF">2025-11-19T09:43:00Z</dcterms:created>
  <dcterms:modified xsi:type="dcterms:W3CDTF">2025-11-21T13:17:00Z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156BE9287F784C5F8F4AB2907ED80763_12</vt:lpwstr>
  </property>
</Properties>
</file>